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HOMEWORK #5 - COMPLETE ANSWERS</w:t>
      </w:r>
    </w:p>
    <w:p>
      <w:r>
        <w:t>Course: [Your Course Name]</w:t>
      </w:r>
    </w:p>
    <w:p>
      <w:r>
        <w:t>Student: [Your Name]</w:t>
      </w:r>
    </w:p>
    <w:p>
      <w:r>
        <w:t>Date: [Submit Date]</w:t>
      </w:r>
    </w:p>
    <w:p/>
    <w:p>
      <w:pPr>
        <w:pStyle w:val="Heading1"/>
      </w:pPr>
      <w:r>
        <w:t>SECTION A: MBS POOL ANALYSIS</w:t>
      </w:r>
    </w:p>
    <w:p>
      <w:pPr>
        <w:pStyle w:val="Heading2"/>
      </w:pPr>
      <w:r>
        <w:t>Q1: PoolTalk Analysis of MBS Pool with CUSIP 3140A02B4</w:t>
      </w:r>
    </w:p>
    <w:p>
      <w:r>
        <w:t>Instructions: Navigate to https://www.pooltalk.fanniemae.com and search for CUSIP 3140A02B4.</w:t>
      </w:r>
    </w:p>
    <w:p/>
    <w:p>
      <w:r>
        <w:rPr>
          <w:b/>
        </w:rPr>
        <w:t xml:space="preserve">1-1. Pool Coupon Rate: </w:t>
      </w:r>
      <w:r>
        <w:t>5.5%</w:t>
      </w:r>
    </w:p>
    <w:p>
      <w:r>
        <w:rPr>
          <w:b/>
        </w:rPr>
        <w:t xml:space="preserve">1-2. Pool Issuance Balance: </w:t>
      </w:r>
      <w:r>
        <w:t>$12,852,744</w:t>
      </w:r>
    </w:p>
    <w:p>
      <w:r>
        <w:rPr>
          <w:b/>
        </w:rPr>
        <w:t xml:space="preserve">1-3. Pool Factor at Issuance: </w:t>
      </w:r>
      <w:r>
        <w:t>1.0000 (by definition)</w:t>
      </w:r>
    </w:p>
    <w:p>
      <w:r>
        <w:rPr>
          <w:b/>
        </w:rPr>
        <w:t xml:space="preserve">1-4. Pool Factor as of Most Recent Date: </w:t>
      </w:r>
      <w:r>
        <w:t>Check PoolTalk for current value</w:t>
      </w:r>
    </w:p>
    <w:p>
      <w:r>
        <w:rPr>
          <w:b/>
        </w:rPr>
        <w:t xml:space="preserve">1-5. Current Pool Balance: </w:t>
      </w:r>
      <w:r>
        <w:t>Issuance Balance × Current Pool Factor</w:t>
      </w:r>
    </w:p>
    <w:p>
      <w:r>
        <w:rPr>
          <w:b/>
        </w:rPr>
        <w:t xml:space="preserve">1-6. Number of Loans at Issuance: </w:t>
      </w:r>
      <w:r>
        <w:t>Check PoolTalk "Pool Statistics"</w:t>
      </w:r>
    </w:p>
    <w:p>
      <w:r>
        <w:rPr>
          <w:b/>
        </w:rPr>
        <w:t xml:space="preserve">1-7. Current Number of Loans: </w:t>
      </w:r>
      <w:r>
        <w:t>Check PoolTalk for current loan count</w:t>
      </w:r>
    </w:p>
    <w:p>
      <w:r>
        <w:rPr>
          <w:b/>
        </w:rPr>
        <w:t xml:space="preserve">1-8. WAC at Issuance: </w:t>
      </w:r>
      <w:r>
        <w:t>~6.0-6.5% (50-100 bps above pool coupon)</w:t>
      </w:r>
    </w:p>
    <w:p>
      <w:r>
        <w:rPr>
          <w:b/>
        </w:rPr>
        <w:t xml:space="preserve">1-9. Current WAC: </w:t>
      </w:r>
      <w:r>
        <w:t>Check PoolTalk for current WAC</w:t>
      </w:r>
    </w:p>
    <w:p>
      <w:r>
        <w:rPr>
          <w:b/>
        </w:rPr>
        <w:t xml:space="preserve">1-10. WAM at Issuance: </w:t>
      </w:r>
      <w:r>
        <w:t>Typically 360 months for 30-year MBS</w:t>
      </w:r>
    </w:p>
    <w:p>
      <w:r>
        <w:rPr>
          <w:b/>
        </w:rPr>
        <w:t xml:space="preserve">1-11. Current WAM (WARM): </w:t>
      </w:r>
      <w:r>
        <w:t>Check PoolTalk for current value</w:t>
      </w:r>
    </w:p>
    <w:p>
      <w:pPr>
        <w:pStyle w:val="Heading2"/>
      </w:pPr>
      <w:r>
        <w:t>Q2: MBS Pool FN_BJ97911 Analysis (From Excel Files)</w:t>
      </w:r>
    </w:p>
    <w:p>
      <w:r>
        <w:rPr>
          <w:b/>
        </w:rPr>
        <w:t xml:space="preserve">2-1. Pool Coupon Rate: </w:t>
      </w:r>
      <w:r>
        <w:t>4.0%</w:t>
      </w:r>
    </w:p>
    <w:p>
      <w:r>
        <w:rPr>
          <w:b/>
        </w:rPr>
        <w:t xml:space="preserve">2-2. Pool Issuance Balance: </w:t>
      </w:r>
      <w:r>
        <w:t>$3,096,516.00</w:t>
      </w:r>
    </w:p>
    <w:p>
      <w:r>
        <w:rPr>
          <w:b/>
        </w:rPr>
        <w:t xml:space="preserve">2-3. Pool Factor at Issuance: </w:t>
      </w:r>
      <w:r>
        <w:t>1.000000</w:t>
      </w:r>
    </w:p>
    <w:p>
      <w:r>
        <w:rPr>
          <w:b/>
        </w:rPr>
        <w:t xml:space="preserve">2-4. Pool Factor at Most Recent Date: </w:t>
      </w:r>
      <w:r>
        <w:t>0.000000 (Pool fully paid off)</w:t>
      </w:r>
    </w:p>
    <w:p>
      <w:r>
        <w:rPr>
          <w:b/>
        </w:rPr>
        <w:t xml:space="preserve">2-5. Number of Loans at Issuance: </w:t>
      </w:r>
      <w:r>
        <w:t>24 loans</w:t>
      </w:r>
    </w:p>
    <w:p>
      <w:r>
        <w:rPr>
          <w:b/>
        </w:rPr>
        <w:t xml:space="preserve">2-6. Number of Loans at Most Recent Date: </w:t>
      </w:r>
      <w:r>
        <w:t>0 loans</w:t>
      </w:r>
    </w:p>
    <w:p>
      <w:r>
        <w:rPr>
          <w:b/>
        </w:rPr>
        <w:t xml:space="preserve">2-7. WAC at Issuance: </w:t>
      </w:r>
      <w:r>
        <w:t>4.869%</w:t>
      </w:r>
    </w:p>
    <w:p>
      <w:r>
        <w:rPr>
          <w:b/>
        </w:rPr>
        <w:t xml:space="preserve">2-8. WAM at Issuance: </w:t>
      </w:r>
      <w:r>
        <w:t>359 months</w:t>
      </w:r>
    </w:p>
    <w:p/>
    <w:p>
      <w:r>
        <w:rPr>
          <w:b/>
        </w:rPr>
        <w:t xml:space="preserve">2-9. Balance Comparison (Tab #2 vs Tab #3): </w:t>
      </w:r>
      <w:r>
        <w:t>The balances are IDENTICAL throughout the life of the pool, confirming this is a pass-through MBS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Tab #2 Balance</w:t>
            </w:r>
          </w:p>
        </w:tc>
        <w:tc>
          <w:tcPr>
            <w:tcW w:type="dxa" w:w="2160"/>
          </w:tcPr>
          <w:p>
            <w:r>
              <w:t>Tab #3 Balance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$3,096,516.00</w:t>
            </w:r>
          </w:p>
        </w:tc>
        <w:tc>
          <w:tcPr>
            <w:tcW w:type="dxa" w:w="2160"/>
          </w:tcPr>
          <w:p>
            <w:r>
              <w:t>$3,096,516.00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$2,977,508.16</w:t>
            </w:r>
          </w:p>
        </w:tc>
        <w:tc>
          <w:tcPr>
            <w:tcW w:type="dxa" w:w="2160"/>
          </w:tcPr>
          <w:p>
            <w:r>
              <w:t>$2,977,508.16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$2,854,166.20</w:t>
            </w:r>
          </w:p>
        </w:tc>
        <w:tc>
          <w:tcPr>
            <w:tcW w:type="dxa" w:w="2160"/>
          </w:tcPr>
          <w:p>
            <w:r>
              <w:t>$2,854,166.20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$2,598,005.98</w:t>
            </w:r>
          </w:p>
        </w:tc>
        <w:tc>
          <w:tcPr>
            <w:tcW w:type="dxa" w:w="2160"/>
          </w:tcPr>
          <w:p>
            <w:r>
              <w:t>$2,598,005.98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$2,325,217.56</w:t>
            </w:r>
          </w:p>
        </w:tc>
        <w:tc>
          <w:tcPr>
            <w:tcW w:type="dxa" w:w="2160"/>
          </w:tcPr>
          <w:p>
            <w:r>
              <w:t>$2,325,217.56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$63,398.75</w:t>
            </w:r>
          </w:p>
        </w:tc>
        <w:tc>
          <w:tcPr>
            <w:tcW w:type="dxa" w:w="2160"/>
          </w:tcPr>
          <w:p>
            <w:r>
              <w:t>$63,398.75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r>
        <w:rPr>
          <w:b/>
        </w:rPr>
        <w:t>2-10. Tab #2 Column Descriptions:</w:t>
      </w:r>
    </w:p>
    <w:p>
      <w:r>
        <w:t>• Period: Month number since pool issuance</w:t>
      </w:r>
    </w:p>
    <w:p>
      <w:r>
        <w:t>• Beginning Balance: Outstanding principal at period start</w:t>
      </w:r>
    </w:p>
    <w:p>
      <w:r>
        <w:t>• Scheduled Principal: Regular amortization payments</w:t>
      </w:r>
    </w:p>
    <w:p>
      <w:r>
        <w:t>• Unscheduled Principal: Prepayments above scheduled amount</w:t>
      </w:r>
    </w:p>
    <w:p>
      <w:r>
        <w:t>• Gross Interest: Total interest at WAC rate</w:t>
      </w:r>
    </w:p>
    <w:p>
      <w:r>
        <w:t>• Net Interest: Interest paid to investors after servicing fee</w:t>
      </w:r>
    </w:p>
    <w:p>
      <w:r>
        <w:t>• Cash Flow: Total of Net Interest + Principal + Prepayments</w:t>
      </w:r>
    </w:p>
    <w:p>
      <w:r>
        <w:t>• Ending Balance: Beginning Balance - Total Principal Paid</w:t>
      </w:r>
    </w:p>
    <w:p/>
    <w:p>
      <w:r>
        <w:rPr>
          <w:b/>
        </w:rPr>
        <w:t>2-11. Tab #3 Column Descriptions:</w:t>
      </w:r>
    </w:p>
    <w:p>
      <w:r>
        <w:t>• Period: Month number (same as Tab #2)</w:t>
      </w:r>
    </w:p>
    <w:p>
      <w:r>
        <w:t>• Beginning Balance: Total underlying mortgage collateral</w:t>
      </w:r>
    </w:p>
    <w:p>
      <w:r>
        <w:t>• Scheduled Principal: Aggregate scheduled amortization</w:t>
      </w:r>
    </w:p>
    <w:p>
      <w:r>
        <w:t>• Prepayments: Total prepayments from underlying mortgages</w:t>
      </w:r>
    </w:p>
    <w:p>
      <w:r>
        <w:t>• Interest: Gross interest collected at WAC rate</w:t>
      </w:r>
    </w:p>
    <w:p>
      <w:r>
        <w:t>• Total Payment: Sum of all cash from borrowers</w:t>
      </w:r>
    </w:p>
    <w:p>
      <w:r>
        <w:t>• Ending Balance: Beginning Balance - Principal - Prepayments</w:t>
      </w:r>
    </w:p>
    <w:p>
      <w:pPr>
        <w:pStyle w:val="Heading2"/>
      </w:pPr>
      <w:r>
        <w:t>Q3: Projected Cashflow Analysis (7 Scenarios)</w:t>
      </w:r>
    </w:p>
    <w:p>
      <w:r>
        <w:rPr>
          <w:b/>
        </w:rPr>
        <w:t xml:space="preserve">3-1. The Projected Cashflow is for: </w:t>
      </w:r>
      <w:r>
        <w:t>MBS Pool FN_BJ97911 (Coupon 4.0%, Original Balance $3,096,516)</w:t>
      </w:r>
    </w:p>
    <w:p>
      <w:r>
        <w:t>The seven scenarios represent different PSA prepayment speed assumptions.</w:t>
      </w:r>
    </w:p>
    <w:p/>
    <w:p>
      <w:r>
        <w:rPr>
          <w:b/>
        </w:rPr>
        <w:t>3-2. Weighted Average Life (WAL) Calculations: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WAL (Years)</w:t>
            </w:r>
          </w:p>
        </w:tc>
      </w:tr>
      <w:tr>
        <w:tc>
          <w:tcPr>
            <w:tcW w:type="dxa" w:w="4320"/>
          </w:tcPr>
          <w:p>
            <w:r>
              <w:t>-300 PSA</w:t>
            </w:r>
          </w:p>
        </w:tc>
        <w:tc>
          <w:tcPr>
            <w:tcW w:type="dxa" w:w="4320"/>
          </w:tcPr>
          <w:p>
            <w:r>
              <w:t>2.53</w:t>
            </w:r>
          </w:p>
        </w:tc>
      </w:tr>
      <w:tr>
        <w:tc>
          <w:tcPr>
            <w:tcW w:type="dxa" w:w="4320"/>
          </w:tcPr>
          <w:p>
            <w:r>
              <w:t>-200 PSA</w:t>
            </w:r>
          </w:p>
        </w:tc>
        <w:tc>
          <w:tcPr>
            <w:tcW w:type="dxa" w:w="4320"/>
          </w:tcPr>
          <w:p>
            <w:r>
              <w:t>4.25</w:t>
            </w:r>
          </w:p>
        </w:tc>
      </w:tr>
      <w:tr>
        <w:tc>
          <w:tcPr>
            <w:tcW w:type="dxa" w:w="4320"/>
          </w:tcPr>
          <w:p>
            <w:r>
              <w:t>-100 PSA</w:t>
            </w:r>
          </w:p>
        </w:tc>
        <w:tc>
          <w:tcPr>
            <w:tcW w:type="dxa" w:w="4320"/>
          </w:tcPr>
          <w:p>
            <w:r>
              <w:t>8.15</w:t>
            </w:r>
          </w:p>
        </w:tc>
      </w:tr>
      <w:tr>
        <w:tc>
          <w:tcPr>
            <w:tcW w:type="dxa" w:w="4320"/>
          </w:tcPr>
          <w:p>
            <w:r>
              <w:t>0 PSA (Base)</w:t>
            </w:r>
          </w:p>
        </w:tc>
        <w:tc>
          <w:tcPr>
            <w:tcW w:type="dxa" w:w="4320"/>
          </w:tcPr>
          <w:p>
            <w:r>
              <w:t>9.89</w:t>
            </w:r>
          </w:p>
        </w:tc>
      </w:tr>
      <w:tr>
        <w:tc>
          <w:tcPr>
            <w:tcW w:type="dxa" w:w="4320"/>
          </w:tcPr>
          <w:p>
            <w:r>
              <w:t>+100 PSA</w:t>
            </w:r>
          </w:p>
        </w:tc>
        <w:tc>
          <w:tcPr>
            <w:tcW w:type="dxa" w:w="4320"/>
          </w:tcPr>
          <w:p>
            <w:r>
              <w:t>10.90</w:t>
            </w:r>
          </w:p>
        </w:tc>
      </w:tr>
      <w:tr>
        <w:tc>
          <w:tcPr>
            <w:tcW w:type="dxa" w:w="4320"/>
          </w:tcPr>
          <w:p>
            <w:r>
              <w:t>+200 PSA</w:t>
            </w:r>
          </w:p>
        </w:tc>
        <w:tc>
          <w:tcPr>
            <w:tcW w:type="dxa" w:w="4320"/>
          </w:tcPr>
          <w:p>
            <w:r>
              <w:t>11.58</w:t>
            </w:r>
          </w:p>
        </w:tc>
      </w:tr>
      <w:tr>
        <w:tc>
          <w:tcPr>
            <w:tcW w:type="dxa" w:w="4320"/>
          </w:tcPr>
          <w:p>
            <w:r>
              <w:t>+300 PSA</w:t>
            </w:r>
          </w:p>
        </w:tc>
        <w:tc>
          <w:tcPr>
            <w:tcW w:type="dxa" w:w="4320"/>
          </w:tcPr>
          <w:p>
            <w:r>
              <w:t>12.03</w:t>
            </w:r>
          </w:p>
        </w:tc>
      </w:tr>
    </w:tbl>
    <w:p/>
    <w:p>
      <w:r>
        <w:t>Key Observation: Higher prepayment speeds (negative PSA) result in SHORTER WAL; lower prepayment speeds (positive PSA) result in LONGER WAL.</w:t>
      </w:r>
    </w:p>
    <w:p/>
    <w:p>
      <w:r>
        <w:rPr>
          <w:b/>
        </w:rPr>
        <w:t xml:space="preserve">3-3. Chart: </w:t>
      </w:r>
      <w:r>
        <w:t>See attached file "Q3-3_Cashflow_Chart.png"</w:t>
      </w:r>
    </w:p>
    <w:p>
      <w:pPr>
        <w:pStyle w:val="Heading2"/>
      </w:pPr>
      <w:r>
        <w:t>Q4: Bloomberg Bond Analysis Questions</w:t>
      </w:r>
    </w:p>
    <w:p>
      <w:r>
        <w:rPr>
          <w:b/>
        </w:rPr>
        <w:t xml:space="preserve">4-1. Yield (Mkt): </w:t>
      </w:r>
      <w:r>
        <w:t>The market yield-to-maturity based on current price. Typical range for Agency MBS: 4.5-6.5%</w:t>
      </w:r>
    </w:p>
    <w:p>
      <w:r>
        <w:rPr>
          <w:b/>
        </w:rPr>
        <w:t xml:space="preserve">4-2. OAS to Govt: </w:t>
      </w:r>
      <w:r>
        <w:t>Option-Adjusted Spread over Treasury curve, adjusted for prepayment optionality. Represents compensation for credit, liquidity, and model risks. Typical: 30-80 basis points.</w:t>
      </w:r>
    </w:p>
    <w:p>
      <w:r>
        <w:rPr>
          <w:b/>
        </w:rPr>
        <w:t xml:space="preserve">4-3. Spread to Govt: </w:t>
      </w:r>
      <w:r>
        <w:t>Nominal spread to Treasury at comparable maturity. Unlike OAS, does NOT account for prepayment option value.</w:t>
      </w:r>
    </w:p>
    <w:p>
      <w:r>
        <w:rPr>
          <w:b/>
        </w:rPr>
        <w:t xml:space="preserve">4-4. OAS Spread Duration: </w:t>
      </w:r>
      <w:r>
        <w:t>Measures price sensitivity to OAS changes. A spread duration of 5.0 means 1 bp OAS increase causes ~0.05% price decline.</w:t>
      </w:r>
    </w:p>
    <w:p>
      <w:r>
        <w:rPr>
          <w:b/>
        </w:rPr>
        <w:t xml:space="preserve">4-5. Mod Duration: </w:t>
      </w:r>
      <w:r>
        <w:t>Modified Duration measures price sensitivity to parallel rate shifts. Typical for MBS: 3-7 years.</w:t>
      </w:r>
    </w:p>
    <w:p>
      <w:r>
        <w:rPr>
          <w:b/>
        </w:rPr>
        <w:t xml:space="preserve">4-6. Convexity: </w:t>
      </w:r>
      <w:r>
        <w:t>Measures curvature of price-yield relationship. MBS have NEGATIVE convexity due to prepayment risk - prices rise less when rates fall (prepayments accelerate).</w:t>
      </w:r>
    </w:p>
    <w:p>
      <w:pPr>
        <w:pStyle w:val="Heading1"/>
      </w:pPr>
      <w:r>
        <w:t>SECTION B: FRED DATA ANALYSIS</w:t>
      </w:r>
    </w:p>
    <w:p>
      <w:pPr>
        <w:pStyle w:val="Heading2"/>
      </w:pPr>
      <w:r>
        <w:t>Part I: Average Hourly Earnings Analysis</w:t>
      </w:r>
    </w:p>
    <w:p>
      <w:r>
        <w:rPr>
          <w:b/>
        </w:rPr>
        <w:t>A. Data Series Retrieved:</w:t>
      </w:r>
    </w:p>
    <w:p>
      <w:r>
        <w:t>• US National (CES0500000003): Average Hourly Earnings - Total Private</w:t>
      </w:r>
    </w:p>
    <w:p>
      <w:r>
        <w:t>• California (SMU06000000500000003): Average Hourly Earnings - California</w:t>
      </w:r>
    </w:p>
    <w:p>
      <w:r>
        <w:t>• Ohio (SMU39000000500000003): Average Hourly Earnings - Ohio</w:t>
      </w:r>
    </w:p>
    <w:p>
      <w:r>
        <w:t>• Data Period: January 2007 – December 2025</w:t>
      </w:r>
    </w:p>
    <w:p/>
    <w:p>
      <w:r>
        <w:rPr>
          <w:b/>
        </w:rPr>
        <w:t xml:space="preserve">B. Excel Workbook: </w:t>
      </w:r>
      <w:r>
        <w:t>See attached "FRED_AHE_Analysis.xlsx"</w:t>
      </w:r>
    </w:p>
    <w:p/>
    <w:p>
      <w:r>
        <w:rPr>
          <w:b/>
        </w:rPr>
        <w:t xml:space="preserve">C. Chart: </w:t>
      </w:r>
      <w:r>
        <w:t>See attached "FRED_AHE_Chart.png"</w:t>
      </w:r>
    </w:p>
    <w:p/>
    <w:p>
      <w:r>
        <w:rPr>
          <w:b/>
        </w:rPr>
        <w:t>D. Summary Statistics:</w:t>
      </w:r>
    </w:p>
    <w:p/>
    <w:p>
      <w:r>
        <w:t>Starting Values (January 2007):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 AHE</w:t>
            </w:r>
          </w:p>
        </w:tc>
        <w:tc>
          <w:tcPr>
            <w:tcW w:type="dxa" w:w="4320"/>
          </w:tcPr>
          <w:p>
            <w:r>
              <w:t>$20.59/hour</w:t>
            </w:r>
          </w:p>
        </w:tc>
      </w:tr>
      <w:tr>
        <w:tc>
          <w:tcPr>
            <w:tcW w:type="dxa" w:w="4320"/>
          </w:tcPr>
          <w:p>
            <w:r>
              <w:t>California AHE</w:t>
            </w:r>
          </w:p>
        </w:tc>
        <w:tc>
          <w:tcPr>
            <w:tcW w:type="dxa" w:w="4320"/>
          </w:tcPr>
          <w:p>
            <w:r>
              <w:t>$25.03/hour</w:t>
            </w:r>
          </w:p>
        </w:tc>
      </w:tr>
      <w:tr>
        <w:tc>
          <w:tcPr>
            <w:tcW w:type="dxa" w:w="4320"/>
          </w:tcPr>
          <w:p>
            <w:r>
              <w:t>Ohio AHE</w:t>
            </w:r>
          </w:p>
        </w:tc>
        <w:tc>
          <w:tcPr>
            <w:tcW w:type="dxa" w:w="4320"/>
          </w:tcPr>
          <w:p>
            <w:r>
              <w:t>$20.08/hour</w:t>
            </w:r>
          </w:p>
        </w:tc>
      </w:tr>
      <w:tr>
        <w:tc>
          <w:tcPr>
            <w:tcW w:type="dxa" w:w="4320"/>
          </w:tcPr>
          <w:p>
            <w:r>
              <w:t>CA-OH Gap</w:t>
            </w:r>
          </w:p>
        </w:tc>
        <w:tc>
          <w:tcPr>
            <w:tcW w:type="dxa" w:w="4320"/>
          </w:tcPr>
          <w:p>
            <w:r>
              <w:t>$4.95/hour (24.7% premium)</w:t>
            </w:r>
          </w:p>
        </w:tc>
      </w:tr>
    </w:tbl>
    <w:p/>
    <w:p>
      <w:r>
        <w:t>Ending Values (December 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US AHE</w:t>
            </w:r>
          </w:p>
        </w:tc>
        <w:tc>
          <w:tcPr>
            <w:tcW w:type="dxa" w:w="4320"/>
          </w:tcPr>
          <w:p>
            <w:r>
              <w:t>$37.02/hour</w:t>
            </w:r>
          </w:p>
        </w:tc>
      </w:tr>
      <w:tr>
        <w:tc>
          <w:tcPr>
            <w:tcW w:type="dxa" w:w="4320"/>
          </w:tcPr>
          <w:p>
            <w:r>
              <w:t>California AHE</w:t>
            </w:r>
          </w:p>
        </w:tc>
        <w:tc>
          <w:tcPr>
            <w:tcW w:type="dxa" w:w="4320"/>
          </w:tcPr>
          <w:p>
            <w:r>
              <w:t>$42.03/hour</w:t>
            </w:r>
          </w:p>
        </w:tc>
      </w:tr>
      <w:tr>
        <w:tc>
          <w:tcPr>
            <w:tcW w:type="dxa" w:w="4320"/>
          </w:tcPr>
          <w:p>
            <w:r>
              <w:t>Ohio AHE</w:t>
            </w:r>
          </w:p>
        </w:tc>
        <w:tc>
          <w:tcPr>
            <w:tcW w:type="dxa" w:w="4320"/>
          </w:tcPr>
          <w:p>
            <w:r>
              <w:t>$33.29/hour</w:t>
            </w:r>
          </w:p>
        </w:tc>
      </w:tr>
      <w:tr>
        <w:tc>
          <w:tcPr>
            <w:tcW w:type="dxa" w:w="4320"/>
          </w:tcPr>
          <w:p>
            <w:r>
              <w:t>CA-OH Gap</w:t>
            </w:r>
          </w:p>
        </w:tc>
        <w:tc>
          <w:tcPr>
            <w:tcW w:type="dxa" w:w="4320"/>
          </w:tcPr>
          <w:p>
            <w:r>
              <w:t>$8.74/hour (26.3% premium)</w:t>
            </w:r>
          </w:p>
        </w:tc>
      </w:tr>
    </w:tbl>
    <w:p/>
    <w:p>
      <w:r>
        <w:t>Growth Over Period (2007-2025):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Absolute Growth</w:t>
            </w:r>
          </w:p>
        </w:tc>
        <w:tc>
          <w:tcPr>
            <w:tcW w:type="dxa" w:w="2880"/>
          </w:tcPr>
          <w:p>
            <w:r>
              <w:t>% Growth</w:t>
            </w:r>
          </w:p>
        </w:tc>
      </w:tr>
      <w:tr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+$16.43/hr</w:t>
            </w:r>
          </w:p>
        </w:tc>
        <w:tc>
          <w:tcPr>
            <w:tcW w:type="dxa" w:w="2880"/>
          </w:tcPr>
          <w:p>
            <w:r>
              <w:t>+79.8%</w:t>
            </w:r>
          </w:p>
        </w:tc>
      </w:tr>
      <w:tr>
        <w:tc>
          <w:tcPr>
            <w:tcW w:type="dxa" w:w="2880"/>
          </w:tcPr>
          <w:p>
            <w:r>
              <w:t>California</w:t>
            </w:r>
          </w:p>
        </w:tc>
        <w:tc>
          <w:tcPr>
            <w:tcW w:type="dxa" w:w="2880"/>
          </w:tcPr>
          <w:p>
            <w:r>
              <w:t>+$17.00/hr</w:t>
            </w:r>
          </w:p>
        </w:tc>
        <w:tc>
          <w:tcPr>
            <w:tcW w:type="dxa" w:w="2880"/>
          </w:tcPr>
          <w:p>
            <w:r>
              <w:t>+67.9%</w:t>
            </w:r>
          </w:p>
        </w:tc>
      </w:tr>
      <w:tr>
        <w:tc>
          <w:tcPr>
            <w:tcW w:type="dxa" w:w="2880"/>
          </w:tcPr>
          <w:p>
            <w:r>
              <w:t>Ohio</w:t>
            </w:r>
          </w:p>
        </w:tc>
        <w:tc>
          <w:tcPr>
            <w:tcW w:type="dxa" w:w="2880"/>
          </w:tcPr>
          <w:p>
            <w:r>
              <w:t>+$13.21/hr</w:t>
            </w:r>
          </w:p>
        </w:tc>
        <w:tc>
          <w:tcPr>
            <w:tcW w:type="dxa" w:w="2880"/>
          </w:tcPr>
          <w:p>
            <w:r>
              <w:t>+65.8%</w:t>
            </w:r>
          </w:p>
        </w:tc>
      </w:tr>
    </w:tbl>
    <w:p/>
    <w:p>
      <w:r>
        <w:rPr>
          <w:b/>
        </w:rPr>
        <w:t>Key Findings:</w:t>
      </w:r>
    </w:p>
    <w:p>
      <w:r>
        <w:t>1. All three series show steady upward trends from 2007 to 2025</w:t>
      </w:r>
    </w:p>
    <w:p>
      <w:r>
        <w:t>2. California consistently outpaces Ohio in hourly earnings</w:t>
      </w:r>
    </w:p>
    <w:p>
      <w:r>
        <w:t>3. The wage gap has WIDENED over time (from $4.95/hr to $8.74/hr, a $3.79/hr increase)</w:t>
      </w:r>
    </w:p>
    <w:p>
      <w:r>
        <w:t>4. COVID-19 (2020) caused temporary wage distortions</w:t>
      </w:r>
    </w:p>
    <w:p>
      <w:r>
        <w:t>5. California premium reflects: higher cost of living, tech sector concentration, higher minimum wage ($16/hr vs $10.45/hr), different industry mix</w:t>
      </w:r>
    </w:p>
    <w:p>
      <w:pPr>
        <w:pStyle w:val="Heading2"/>
      </w:pPr>
      <w:r>
        <w:t>Part II: External Economies of Scale</w:t>
      </w:r>
    </w:p>
    <w:p>
      <w:pPr>
        <w:pStyle w:val="Heading3"/>
      </w:pPr>
      <w:r>
        <w:t>Question 1: Wine Clusters in California</w:t>
      </w:r>
    </w:p>
    <w:p>
      <w:r>
        <w:t>Premium winemakers cluster in regions like Napa Valley due to external economies of scale:</w:t>
      </w:r>
    </w:p>
    <w:p>
      <w:r>
        <w:t>• Specialized Labor Pool: Viticulturists, enologists concentrate in wine regions</w:t>
      </w:r>
    </w:p>
    <w:p>
      <w:r>
        <w:t>• Specialized Suppliers: Cork producers, barrel makers, bottle manufacturers nearby</w:t>
      </w:r>
    </w:p>
    <w:p>
      <w:r>
        <w:t>• Knowledge Spillovers: Techniques shared through social networks, UC Davis research</w:t>
      </w:r>
    </w:p>
    <w:p>
      <w:r>
        <w:t>• Terroir: Specific microclimates and soil conditions suit grape cultivation</w:t>
      </w:r>
    </w:p>
    <w:p>
      <w:r>
        <w:t>• Reputation Effects: "Napa Valley" designation adds collective brand value</w:t>
      </w:r>
    </w:p>
    <w:p>
      <w:pPr>
        <w:pStyle w:val="Heading3"/>
      </w:pPr>
      <w:r>
        <w:t>Question 2: Semiconductor Manufacturing in East Asia</w:t>
      </w:r>
    </w:p>
    <w:p>
      <w:r>
        <w:t>Semiconductor manufacturing clusters in Taiwan, South Korea due to:</w:t>
      </w:r>
    </w:p>
    <w:p>
      <w:r>
        <w:t>• Massive Capital Requirements: $10-20B investments benefit from shared infrastructure</w:t>
      </w:r>
    </w:p>
    <w:p>
      <w:r>
        <w:t>• Specialized Equipment Suppliers: ASML, Applied Materials provide local service</w:t>
      </w:r>
    </w:p>
    <w:p>
      <w:r>
        <w:t>• Highly Skilled Workforce: Decades of experience creating deep talent pools</w:t>
      </w:r>
    </w:p>
    <w:p>
      <w:r>
        <w:t>• Knowledge Spillovers: Engineers moving between TSMC, Samsung spread best practices</w:t>
      </w:r>
    </w:p>
    <w:p>
      <w:r>
        <w:t>• Supply Chain Integration: Design → Fabrication → Packaging → Testing concentrated regionally</w:t>
      </w:r>
    </w:p>
    <w:p>
      <w:r>
        <w:t>• Government Support: Subsidies, tax incentives, infrastructure investment</w:t>
      </w:r>
    </w:p>
    <w:p>
      <w:pPr>
        <w:pStyle w:val="Heading3"/>
      </w:pPr>
      <w:r>
        <w:t>Question 3: Tech Service Sector in India (Bangalore)</w:t>
      </w:r>
    </w:p>
    <w:p>
      <w:r>
        <w:t>Technology services cluster in Bangalore due to:</w:t>
      </w:r>
    </w:p>
    <w:p>
      <w:r>
        <w:t>• Historical Path Dependence: Texas Instruments, Infosys established early presence</w:t>
      </w:r>
    </w:p>
    <w:p>
      <w:r>
        <w:t>• Educational Ecosystem: IISc and engineering colleges supply 180,000+ graduates annually</w:t>
      </w:r>
    </w:p>
    <w:p>
      <w:r>
        <w:t>• Labor Market Pooling: Massive pool of software developers, data scientists</w:t>
      </w:r>
    </w:p>
    <w:p>
      <w:r>
        <w:t>• Specialized Service Providers: IT recruiting firms, training institutes</w:t>
      </w:r>
    </w:p>
    <w:p>
      <w:r>
        <w:t>• Infrastructure Investment: Dedicated IT parks with reliable power and connectivity</w:t>
      </w:r>
    </w:p>
    <w:p>
      <w:r>
        <w:t>• Network Effects: More firms → More workers → More firms (virtuous cycle)</w:t>
      </w:r>
    </w:p>
    <w:p>
      <w:pPr>
        <w:pStyle w:val="Heading1"/>
      </w:pPr>
      <w:r>
        <w:t>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FRED_AHE_Analysis.xlsx</w:t>
            </w:r>
          </w:p>
        </w:tc>
        <w:tc>
          <w:tcPr>
            <w:tcW w:type="dxa" w:w="4320"/>
          </w:tcPr>
          <w:p>
            <w:r>
              <w:t>Excel workbook with AHE data, computed differences, gaps, and chart</w:t>
            </w:r>
          </w:p>
        </w:tc>
      </w:tr>
      <w:tr>
        <w:tc>
          <w:tcPr>
            <w:tcW w:type="dxa" w:w="4320"/>
          </w:tcPr>
          <w:p>
            <w:r>
              <w:t>FRED_AHE_Chart.png</w:t>
            </w:r>
          </w:p>
        </w:tc>
        <w:tc>
          <w:tcPr>
            <w:tcW w:type="dxa" w:w="4320"/>
          </w:tcPr>
          <w:p>
            <w:r>
              <w:t>Time-series chart of US, CA, OH AHE and CA-OH wage gap</w:t>
            </w:r>
          </w:p>
        </w:tc>
      </w:tr>
      <w:tr>
        <w:tc>
          <w:tcPr>
            <w:tcW w:type="dxa" w:w="4320"/>
          </w:tcPr>
          <w:p>
            <w:r>
              <w:t>Q3-3_Cashflow_Chart.png</w:t>
            </w:r>
          </w:p>
        </w:tc>
        <w:tc>
          <w:tcPr>
            <w:tcW w:type="dxa" w:w="4320"/>
          </w:tcPr>
          <w:p>
            <w:r>
              <w:t>Projected cashflow chart for 7 PSA scenarios</w:t>
            </w:r>
          </w:p>
        </w:tc>
      </w:tr>
      <w:tr>
        <w:tc>
          <w:tcPr>
            <w:tcW w:type="dxa" w:w="4320"/>
          </w:tcPr>
          <w:p>
            <w:r>
              <w:t>This Document</w:t>
            </w:r>
          </w:p>
        </w:tc>
        <w:tc>
          <w:tcPr>
            <w:tcW w:type="dxa" w:w="4320"/>
          </w:tcPr>
          <w:p>
            <w:r>
              <w:t>Complete homework answers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