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emf" ContentType="image/x-emf"/>
  <Override PartName="/word/theme/theme1.xml" ContentType="application/vnd.openxmlformats-officedocument.theme+xml"/>
  <Override PartName="/word/charts/colors1.xml" ContentType="application/vnd.ms-office.chartcolorstyl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charts/style1.xml" ContentType="application/vnd.ms-office.chartstyle+xml"/>
  <Override PartName="/word/charts/chart1.xml" ContentType="application/vnd.openxmlformats-officedocument.drawingml.chart+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Hlk223823013"/>
      <w:bookmarkEnd w:id="0"/>
    </w:p>
    <w:p>
      <w:pPr>
        <w:pStyle w:val="style0"/>
        <w:rPr>
          <w:b/>
        </w:rPr>
      </w:pPr>
      <w:r>
        <w:rPr>
          <w:b/>
        </w:rPr>
        <w:t>Homewor</w:t>
      </w:r>
      <w:r>
        <w:rPr>
          <w:b/>
        </w:rPr>
        <w:t xml:space="preserve">k </w:t>
      </w:r>
      <w:r>
        <w:rPr>
          <w:b/>
        </w:rPr>
        <w:t>Set #</w:t>
      </w:r>
      <w:r>
        <w:rPr>
          <w:b/>
        </w:rPr>
        <w:t>6</w:t>
      </w:r>
    </w:p>
    <w:p>
      <w:pPr>
        <w:pStyle w:val="style0"/>
        <w:rPr>
          <w:b/>
        </w:rPr>
      </w:pPr>
    </w:p>
    <w:p>
      <w:pPr>
        <w:pStyle w:val="style0"/>
        <w:rPr>
          <w:b/>
        </w:rPr>
      </w:pPr>
      <w:r>
        <w:rPr>
          <w:b/>
        </w:rPr>
        <w:t xml:space="preserve">Total </w:t>
      </w:r>
      <w:r>
        <w:rPr>
          <w:b/>
        </w:rPr>
        <w:t>3</w:t>
      </w:r>
      <w:r>
        <w:rPr>
          <w:b/>
        </w:rPr>
        <w:t>.0</w:t>
      </w:r>
      <w:r>
        <w:rPr>
          <w:b/>
        </w:rPr>
        <w:t xml:space="preserve"> points</w:t>
      </w:r>
    </w:p>
    <w:p>
      <w:pPr>
        <w:pStyle w:val="style0"/>
        <w:rPr>
          <w:b/>
        </w:rPr>
      </w:pPr>
    </w:p>
    <w:p>
      <w:pPr>
        <w:pStyle w:val="style0"/>
        <w:rPr>
          <w:b/>
        </w:rPr>
      </w:pPr>
    </w:p>
    <w:p>
      <w:pPr>
        <w:pStyle w:val="style0"/>
        <w:rPr>
          <w:b/>
        </w:rPr>
      </w:pPr>
    </w:p>
    <w:p>
      <w:pPr>
        <w:pStyle w:val="style179"/>
        <w:numPr>
          <w:ilvl w:val="0"/>
          <w:numId w:val="1"/>
        </w:numPr>
        <w:rPr>
          <w:b/>
        </w:rPr>
      </w:pPr>
      <w:r>
        <w:rPr>
          <w:b/>
        </w:rPr>
        <w:t xml:space="preserve">Prepayment Measurement Unit &amp; </w:t>
      </w:r>
      <w:r>
        <w:rPr>
          <w:b/>
        </w:rPr>
        <w:t>Prepayment Speed Tracking</w:t>
      </w:r>
      <w:r>
        <w:rPr>
          <w:b/>
        </w:rPr>
        <w:t xml:space="preserve"> (total </w:t>
      </w:r>
      <w:r>
        <w:rPr>
          <w:b/>
        </w:rPr>
        <w:t>0.5</w:t>
      </w:r>
      <w:r>
        <w:rPr>
          <w:b/>
        </w:rPr>
        <w:t xml:space="preserve"> points)</w:t>
      </w:r>
    </w:p>
    <w:p>
      <w:pPr>
        <w:pStyle w:val="style0"/>
        <w:rPr/>
      </w:pPr>
    </w:p>
    <w:p>
      <w:pPr>
        <w:pStyle w:val="style179"/>
        <w:numPr>
          <w:ilvl w:val="0"/>
          <w:numId w:val="4"/>
        </w:numPr>
        <w:rPr/>
      </w:pPr>
      <w:r>
        <w:t>Draw a Chart of relationship between SMM and CPR, starting from SMM = 0.1% to 10%, with step size of 0.1%.   What conclusions can you make</w:t>
      </w:r>
      <w:r>
        <w:t xml:space="preserve"> form the chart</w:t>
      </w:r>
      <w:r>
        <w:t>?</w:t>
      </w:r>
      <w:r>
        <w:t xml:space="preserve"> (0.5 points)</w:t>
      </w:r>
    </w:p>
    <w:p>
      <w:pPr>
        <w:pStyle w:val="style0"/>
        <w:rPr/>
      </w:pPr>
    </w:p>
    <w:p>
      <w:pPr>
        <w:pStyle w:val="style0"/>
        <w:rPr/>
      </w:pPr>
      <w:r>
        <w:rPr>
          <w:noProof/>
        </w:rPr>
      </w:r>
      <w:r>
        <w:rPr>
          <w:noProof/>
        </w:rPr>
      </w:r>
      <w:r>
        <w:rPr>
          <w:noProof/>
        </w:rPr>
      </w:r>
      <w:r>
        <w:rPr>
          <w:noProof/>
        </w:rPr>
        <w:drawing>
          <wp:inline distL="114300" distT="0" distB="0" distR="114300">
            <wp:extent cx="4572000" cy="27432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r>
        <w:rPr>
          <w:noProof/>
        </w:rPr>
      </w:r>
    </w:p>
    <w:p>
      <w:pPr>
        <w:pStyle w:val="style0"/>
        <w:rPr/>
      </w:pPr>
      <w:r>
        <w:t>The chart shows that CPR increases as SMM increases. The relationship is nonlinear because CPR annualizes the monthly prepayment rate over 12 months. As SMM increases, CPR grows at an increasing rate due to compounding effects.</w:t>
      </w:r>
      <w:r>
        <w:t xml:space="preserve"> (check excel)</w:t>
      </w:r>
    </w:p>
    <w:p>
      <w:pPr>
        <w:pStyle w:val="style0"/>
        <w:rPr/>
      </w:pPr>
    </w:p>
    <w:p>
      <w:pPr>
        <w:pStyle w:val="style179"/>
        <w:numPr>
          <w:ilvl w:val="0"/>
          <w:numId w:val="4"/>
        </w:numPr>
        <w:rPr/>
      </w:pPr>
      <w:r>
        <w:t>Convert SMM to CPR and PSA equivalents</w:t>
      </w:r>
      <w:r>
        <w:t xml:space="preserve"> (0.5 points)</w:t>
      </w:r>
    </w:p>
    <w:p>
      <w:pPr>
        <w:pStyle w:val="style179"/>
        <w:ind w:left="1440"/>
        <w:rPr/>
      </w:pPr>
      <w:r>
        <w:t>Age         SMM     CPR     PSA</w:t>
      </w:r>
    </w:p>
    <w:p>
      <w:pPr>
        <w:pStyle w:val="style179"/>
        <w:ind w:left="1440"/>
        <w:rPr/>
      </w:pPr>
      <w:r>
        <w:t>5               0.6</w:t>
      </w:r>
    </w:p>
    <w:p>
      <w:pPr>
        <w:pStyle w:val="style179"/>
        <w:ind w:left="1440"/>
        <w:rPr/>
      </w:pPr>
      <w:r>
        <w:t>6               1.0</w:t>
      </w:r>
    </w:p>
    <w:p>
      <w:pPr>
        <w:pStyle w:val="style179"/>
        <w:ind w:left="1440"/>
        <w:rPr/>
      </w:pPr>
      <w:r>
        <w:t>7               2.0</w:t>
      </w:r>
    </w:p>
    <w:p>
      <w:pPr>
        <w:pStyle w:val="style0"/>
        <w:rPr/>
      </w:pPr>
    </w:p>
    <w:p>
      <w:pPr>
        <w:pStyle w:val="style179"/>
        <w:numPr>
          <w:ilvl w:val="0"/>
          <w:numId w:val="4"/>
        </w:numPr>
        <w:rPr/>
      </w:pPr>
      <w:r>
        <w:t>Derive formula for SMM in terms of CPR, and CPR in terms of PSA.</w:t>
      </w:r>
      <w:r>
        <w:t xml:space="preserve"> (0.5 points)</w:t>
      </w:r>
    </w:p>
    <w:p>
      <w:pPr>
        <w:pStyle w:val="style0"/>
        <w:rPr/>
      </w:pPr>
    </w:p>
    <w:p>
      <w:pPr>
        <w:pStyle w:val="style179"/>
        <w:numPr>
          <w:ilvl w:val="0"/>
          <w:numId w:val="4"/>
        </w:numPr>
        <w:rPr/>
      </w:pPr>
      <w:r>
        <w:t>Calculate Weighted Average Life for principal payment schedule below</w:t>
      </w:r>
      <w:r>
        <w:t xml:space="preserve"> (0.5 points)</w:t>
      </w:r>
    </w:p>
    <w:p>
      <w:pPr>
        <w:pStyle w:val="style0"/>
        <w:rPr/>
      </w:pPr>
    </w:p>
    <w:p>
      <w:pPr>
        <w:pStyle w:val="style0"/>
        <w:ind w:left="720"/>
        <w:rPr/>
      </w:pPr>
      <w:r>
        <w:t>Month</w:t>
      </w:r>
      <w:r>
        <w:tab/>
      </w:r>
      <w:r>
        <w:tab/>
      </w:r>
      <w:r>
        <w:t>Principal Payment</w:t>
      </w:r>
    </w:p>
    <w:p>
      <w:pPr>
        <w:pStyle w:val="style179"/>
        <w:numPr>
          <w:ilvl w:val="0"/>
          <w:numId w:val="5"/>
        </w:numPr>
        <w:rPr/>
      </w:pPr>
      <w:r>
        <w:t>50</w:t>
      </w:r>
    </w:p>
    <w:p>
      <w:pPr>
        <w:pStyle w:val="style179"/>
        <w:numPr>
          <w:ilvl w:val="0"/>
          <w:numId w:val="5"/>
        </w:numPr>
        <w:rPr/>
      </w:pPr>
      <w:r>
        <w:t>100</w:t>
      </w:r>
    </w:p>
    <w:p>
      <w:pPr>
        <w:pStyle w:val="style179"/>
        <w:numPr>
          <w:ilvl w:val="0"/>
          <w:numId w:val="5"/>
        </w:numPr>
        <w:rPr/>
      </w:pPr>
      <w:r>
        <w:t>200</w:t>
      </w:r>
    </w:p>
    <w:p>
      <w:pPr>
        <w:pStyle w:val="style179"/>
        <w:numPr>
          <w:ilvl w:val="0"/>
          <w:numId w:val="5"/>
        </w:numPr>
        <w:rPr/>
      </w:pPr>
      <w:r>
        <w:t>400</w:t>
      </w:r>
    </w:p>
    <w:p>
      <w:pPr>
        <w:pStyle w:val="style179"/>
        <w:numPr>
          <w:ilvl w:val="0"/>
          <w:numId w:val="5"/>
        </w:numPr>
        <w:pBdr>
          <w:bottom w:val="single" w:sz="6" w:space="1" w:color="auto"/>
        </w:pBdr>
        <w:rPr/>
      </w:pPr>
      <w:r>
        <w:t>800</w:t>
      </w:r>
    </w:p>
    <w:p>
      <w:pPr>
        <w:pStyle w:val="style0"/>
        <w:ind w:left="720"/>
        <w:rPr/>
      </w:pPr>
      <w:r>
        <w:t xml:space="preserve">Total </w:t>
      </w:r>
      <w:r>
        <w:tab/>
      </w:r>
      <w:r>
        <w:tab/>
      </w:r>
      <w:r>
        <w:tab/>
      </w:r>
      <w:r>
        <w:t>1550</w:t>
      </w:r>
    </w:p>
    <w:p>
      <w:pPr>
        <w:pStyle w:val="style0"/>
        <w:rPr/>
      </w:pPr>
    </w:p>
    <w:p>
      <w:pPr>
        <w:pStyle w:val="style0"/>
        <w:rPr/>
      </w:pPr>
    </w:p>
    <w:p>
      <w:pPr>
        <w:pStyle w:val="style179"/>
        <w:numPr>
          <w:ilvl w:val="0"/>
          <w:numId w:val="1"/>
        </w:numPr>
        <w:rPr>
          <w:b/>
          <w:bCs/>
        </w:rPr>
      </w:pPr>
      <w:r>
        <w:rPr>
          <w:b/>
          <w:bCs/>
        </w:rPr>
        <w:t>Agency MBS Pool Prepayment Speed History and Pattern</w:t>
      </w:r>
      <w:r>
        <w:rPr>
          <w:b/>
          <w:bCs/>
        </w:rPr>
        <w:t xml:space="preserve"> (total 0.5 points)</w:t>
      </w:r>
    </w:p>
    <w:p>
      <w:pPr>
        <w:pStyle w:val="style0"/>
        <w:rPr/>
      </w:pPr>
    </w:p>
    <w:p>
      <w:pPr>
        <w:pStyle w:val="style0"/>
        <w:ind w:firstLine="360"/>
        <w:rPr/>
      </w:pPr>
      <w:r>
        <w:t xml:space="preserve">For CUSIP </w:t>
      </w:r>
      <w:r>
        <w:rPr>
          <w:color w:val="c00000"/>
        </w:rPr>
        <w:t>31418C5Z3</w:t>
      </w:r>
      <w:r>
        <w:t xml:space="preserve"> a MBS pool issued by Fannie Mae, </w:t>
      </w:r>
    </w:p>
    <w:p>
      <w:pPr>
        <w:pStyle w:val="style179"/>
        <w:numPr>
          <w:ilvl w:val="0"/>
          <w:numId w:val="8"/>
        </w:numPr>
        <w:rPr/>
      </w:pPr>
      <w:r>
        <w:t xml:space="preserve">please use Recursion Analyzer to track its historical monthly </w:t>
      </w:r>
      <w:r>
        <w:t xml:space="preserve">voluntary </w:t>
      </w:r>
      <w:r>
        <w:t xml:space="preserve">prepayment speeds in </w:t>
      </w:r>
      <w:r>
        <w:t>1-month CR</w:t>
      </w:r>
      <w:r>
        <w:t xml:space="preserve">R since issuance to </w:t>
      </w:r>
      <w:r>
        <w:t>date;</w:t>
      </w:r>
    </w:p>
    <w:p>
      <w:pPr>
        <w:pStyle w:val="style179"/>
        <w:numPr>
          <w:ilvl w:val="0"/>
          <w:numId w:val="8"/>
        </w:numPr>
        <w:rPr/>
      </w:pPr>
      <w:r>
        <w:t>Please draw time series chart against the 30-year primary mortgage rate using Freddie Mac’s PMMS (</w:t>
      </w:r>
      <w:r>
        <w:t>you can PMMS rate within Recursion Analyzer</w:t>
      </w:r>
      <w:r>
        <w:t>)</w:t>
      </w:r>
    </w:p>
    <w:p>
      <w:pPr>
        <w:pStyle w:val="style179"/>
        <w:numPr>
          <w:ilvl w:val="0"/>
          <w:numId w:val="8"/>
        </w:numPr>
        <w:rPr/>
      </w:pPr>
      <w:r>
        <w:t>Please describe the following patterns:</w:t>
      </w:r>
    </w:p>
    <w:p>
      <w:pPr>
        <w:pStyle w:val="style179"/>
        <w:numPr>
          <w:ilvl w:val="1"/>
          <w:numId w:val="8"/>
        </w:numPr>
        <w:rPr/>
      </w:pPr>
      <w:r>
        <w:t xml:space="preserve">From its issuance month to 30 months </w:t>
      </w:r>
      <w:r>
        <w:t>later;</w:t>
      </w:r>
    </w:p>
    <w:p>
      <w:pPr>
        <w:pStyle w:val="style179"/>
        <w:numPr>
          <w:ilvl w:val="1"/>
          <w:numId w:val="8"/>
        </w:numPr>
        <w:rPr/>
      </w:pPr>
      <w:r>
        <w:t xml:space="preserve">What and when was the peak prepayment speed? </w:t>
      </w:r>
    </w:p>
    <w:p>
      <w:pPr>
        <w:pStyle w:val="style179"/>
        <w:numPr>
          <w:ilvl w:val="1"/>
          <w:numId w:val="8"/>
        </w:numPr>
        <w:rPr/>
      </w:pPr>
      <w:r>
        <w:t>What is the latest prepayment speed?</w:t>
      </w:r>
    </w:p>
    <w:p>
      <w:pPr>
        <w:pStyle w:val="style0"/>
        <w:rPr>
          <w:b/>
          <w:bCs/>
        </w:rPr>
      </w:pPr>
    </w:p>
    <w:p>
      <w:pPr>
        <w:pStyle w:val="style179"/>
        <w:numPr>
          <w:ilvl w:val="0"/>
          <w:numId w:val="1"/>
        </w:numPr>
        <w:rPr>
          <w:b/>
          <w:bCs/>
        </w:rPr>
      </w:pPr>
      <w:r>
        <w:rPr>
          <w:b/>
          <w:bCs/>
        </w:rPr>
        <w:t>Agency MBS Pool – Pool level Analysis (</w:t>
      </w:r>
      <w:r>
        <w:rPr>
          <w:b/>
          <w:bCs/>
        </w:rPr>
        <w:t xml:space="preserve">1.5 points, </w:t>
      </w:r>
      <w:r>
        <w:rPr>
          <w:b/>
          <w:bCs/>
        </w:rPr>
        <w:t>see attached Excel file)</w:t>
      </w:r>
    </w:p>
    <w:p>
      <w:pPr>
        <w:pStyle w:val="style179"/>
        <w:ind w:left="1080"/>
        <w:rPr>
          <w:b/>
          <w:bCs/>
        </w:rPr>
      </w:pPr>
    </w:p>
    <w:p>
      <w:pPr>
        <w:pStyle w:val="style179"/>
        <w:ind w:left="1080"/>
        <w:rPr>
          <w:b/>
          <w:bCs/>
        </w:rPr>
      </w:pPr>
    </w:p>
    <w:p>
      <w:pPr>
        <w:pStyle w:val="style179"/>
        <w:ind w:left="360"/>
        <w:jc w:val="both"/>
        <w:rPr/>
      </w:pPr>
      <w:r>
        <w:t xml:space="preserve">Within Agency MBS space, passthrough pool is a type of bond that the investor can buy. It is typically a collection of residential mortgages securitized with Agency guarantee. Each month when borrowers make their mortgage monthly payment, the principal and interest are collected and then passed through to investors owning the pool. Unlike regular bond, the cashflow of an MBS pool may vary over time because borrowers can pay more than their scheduled payment (i.e. borrower may prepay).  </w:t>
      </w:r>
    </w:p>
    <w:p>
      <w:pPr>
        <w:pStyle w:val="style179"/>
        <w:ind w:left="360"/>
        <w:jc w:val="both"/>
        <w:rPr/>
      </w:pPr>
    </w:p>
    <w:p>
      <w:pPr>
        <w:pStyle w:val="style179"/>
        <w:ind w:left="360"/>
        <w:jc w:val="both"/>
        <w:rPr/>
      </w:pPr>
      <w:r>
        <w:t xml:space="preserve">We track pool-level data both at issuance and for ongoing monthly update. For loan specific feature we track pool-level aggregated statics. </w:t>
      </w:r>
    </w:p>
    <w:p>
      <w:pPr>
        <w:pStyle w:val="style179"/>
        <w:ind w:left="360"/>
        <w:jc w:val="both"/>
        <w:rPr/>
      </w:pPr>
    </w:p>
    <w:p>
      <w:pPr>
        <w:pStyle w:val="style179"/>
        <w:ind w:left="360"/>
        <w:jc w:val="both"/>
        <w:rPr/>
      </w:pPr>
      <w:r>
        <w:t xml:space="preserve">This project is to perform data analysis based on the given pool-level data sample. For the two tabs provided, </w:t>
      </w:r>
    </w:p>
    <w:p>
      <w:pPr>
        <w:pStyle w:val="style179"/>
        <w:numPr>
          <w:ilvl w:val="0"/>
          <w:numId w:val="15"/>
        </w:numPr>
        <w:jc w:val="both"/>
        <w:rPr/>
      </w:pPr>
      <w:r>
        <w:t>"Pool Data" contains the static info for 2234 Agency MBS pools at issuance</w:t>
      </w:r>
      <w:r>
        <w:t>,</w:t>
      </w:r>
      <w:r>
        <w:t xml:space="preserve"> and </w:t>
      </w:r>
    </w:p>
    <w:p>
      <w:pPr>
        <w:pStyle w:val="style179"/>
        <w:numPr>
          <w:ilvl w:val="0"/>
          <w:numId w:val="15"/>
        </w:numPr>
        <w:jc w:val="both"/>
        <w:rPr/>
      </w:pPr>
      <w:r>
        <w:t>"Pool Hist" contains ongoing time series data for each pool. Every month every pool has one updated record. Description for each field is provided in tab "Glossary".</w:t>
      </w:r>
    </w:p>
    <w:p>
      <w:pPr>
        <w:pStyle w:val="style179"/>
        <w:ind w:left="360"/>
        <w:jc w:val="both"/>
        <w:rPr/>
      </w:pPr>
    </w:p>
    <w:p>
      <w:pPr>
        <w:pStyle w:val="style179"/>
        <w:ind w:left="360"/>
        <w:jc w:val="both"/>
        <w:rPr/>
      </w:pPr>
      <w:r>
        <w:t>Please analyze the data and create charts and tables as required below:</w:t>
      </w:r>
    </w:p>
    <w:p>
      <w:pPr>
        <w:pStyle w:val="style179"/>
        <w:ind w:left="360"/>
        <w:jc w:val="both"/>
        <w:rPr/>
      </w:pPr>
      <w:r>
        <w:t>3_1</w:t>
      </w:r>
      <w:r>
        <w:t xml:space="preserve">. </w:t>
      </w:r>
      <w:r>
        <w:t>(</w:t>
      </w:r>
      <w:r>
        <w:rPr>
          <w:b/>
          <w:bCs/>
        </w:rPr>
        <w:t>0.</w:t>
      </w:r>
      <w:r>
        <w:rPr>
          <w:b/>
          <w:bCs/>
        </w:rPr>
        <w:t>2</w:t>
      </w:r>
      <w:r>
        <w:rPr>
          <w:b/>
          <w:bCs/>
        </w:rPr>
        <w:t>5 points</w:t>
      </w:r>
      <w:r>
        <w:t xml:space="preserve">) </w:t>
      </w:r>
      <w:r>
        <w:t>Create one chart and one table showing 2024 monthly issuance with coupon breakdowns, write a short paragraph describing the trend.</w:t>
      </w:r>
    </w:p>
    <w:p>
      <w:pPr>
        <w:pStyle w:val="style179"/>
        <w:ind w:left="360"/>
        <w:jc w:val="both"/>
        <w:rPr/>
      </w:pPr>
      <w:r>
        <w:t>3_2</w:t>
      </w:r>
      <w:r>
        <w:t xml:space="preserve">. </w:t>
      </w:r>
      <w:r>
        <w:t>(</w:t>
      </w:r>
      <w:r>
        <w:rPr>
          <w:b/>
          <w:bCs/>
        </w:rPr>
        <w:t>0.</w:t>
      </w:r>
      <w:r>
        <w:rPr>
          <w:b/>
          <w:bCs/>
        </w:rPr>
        <w:t>2</w:t>
      </w:r>
      <w:r>
        <w:rPr>
          <w:b/>
          <w:bCs/>
        </w:rPr>
        <w:t>5 points</w:t>
      </w:r>
      <w:r>
        <w:t xml:space="preserve">) </w:t>
      </w:r>
      <w:r>
        <w:t>Create a table showing the following statistics by coupon as of 2025/4/1: total outstanding balance, total loan count, weighted average WAC, weighted average WALA, weighted average WAM, weighted average FICO, weighted average LTV (all weighted average mentioned are balance weight).</w:t>
      </w:r>
    </w:p>
    <w:p>
      <w:pPr>
        <w:pStyle w:val="style179"/>
        <w:ind w:left="360"/>
        <w:jc w:val="both"/>
        <w:rPr/>
      </w:pPr>
      <w:r>
        <w:t>3</w:t>
      </w:r>
      <w:r>
        <w:t>_3</w:t>
      </w:r>
      <w:r>
        <w:t xml:space="preserve">. </w:t>
      </w:r>
      <w:r>
        <w:t>(</w:t>
      </w:r>
      <w:r>
        <w:rPr>
          <w:b/>
          <w:bCs/>
        </w:rPr>
        <w:t>0.</w:t>
      </w:r>
      <w:r>
        <w:rPr>
          <w:b/>
          <w:bCs/>
        </w:rPr>
        <w:t>50</w:t>
      </w:r>
      <w:r>
        <w:rPr>
          <w:b/>
          <w:bCs/>
        </w:rPr>
        <w:t xml:space="preserve"> points</w:t>
      </w:r>
      <w:r>
        <w:t xml:space="preserve">) </w:t>
      </w:r>
      <w:r>
        <w:t xml:space="preserve">Create two time series charts for </w:t>
      </w:r>
    </w:p>
    <w:p>
      <w:pPr>
        <w:pStyle w:val="style179"/>
        <w:jc w:val="both"/>
        <w:rPr/>
      </w:pPr>
      <w:r>
        <w:t xml:space="preserve">1) monthly total outstanding balance </w:t>
      </w:r>
    </w:p>
    <w:p>
      <w:pPr>
        <w:pStyle w:val="style179"/>
        <w:jc w:val="both"/>
        <w:rPr/>
      </w:pPr>
      <w:r>
        <w:t>2) monthly (current balance weighted average) aggregate CPR.</w:t>
      </w:r>
    </w:p>
    <w:p>
      <w:pPr>
        <w:pStyle w:val="style179"/>
        <w:ind w:left="360"/>
        <w:jc w:val="both"/>
        <w:rPr/>
      </w:pPr>
    </w:p>
    <w:p>
      <w:pPr>
        <w:pStyle w:val="style179"/>
        <w:ind w:left="360"/>
        <w:jc w:val="both"/>
        <w:rPr/>
      </w:pPr>
      <w:r>
        <w:t>3_4</w:t>
      </w:r>
      <w:r>
        <w:t>. (</w:t>
      </w:r>
      <w:r>
        <w:rPr>
          <w:b/>
          <w:bCs/>
          <w:i/>
          <w:iCs/>
        </w:rPr>
        <w:t>0.5 points</w:t>
      </w:r>
      <w:r>
        <w:t>) Analyze how does WAC impact prepayment (CPR). Describe your findings with supporting charts and/or tables.</w:t>
      </w:r>
    </w:p>
    <w:p>
      <w:pPr>
        <w:pStyle w:val="style179"/>
        <w:ind w:left="360"/>
        <w:jc w:val="both"/>
        <w:rPr/>
      </w:pPr>
    </w:p>
    <w:p>
      <w:pPr>
        <w:pStyle w:val="style179"/>
        <w:ind w:left="360"/>
        <w:jc w:val="both"/>
        <w:rPr>
          <w:u w:val="single"/>
        </w:rPr>
      </w:pPr>
      <w:r>
        <w:rPr>
          <w:u w:val="single"/>
        </w:rPr>
        <w:t>Answer requirements:</w:t>
      </w:r>
    </w:p>
    <w:p>
      <w:pPr>
        <w:pStyle w:val="style179"/>
        <w:ind w:left="360"/>
        <w:jc w:val="both"/>
        <w:rPr/>
      </w:pPr>
      <w:r>
        <w:t xml:space="preserve">Word doc including all charts and description notes required. Data analysis/charting can be done through either python or excel.  </w:t>
      </w: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ind w:left="1080"/>
        <w:rPr>
          <w:b/>
          <w:bCs/>
        </w:rPr>
      </w:pPr>
    </w:p>
    <w:p>
      <w:pPr>
        <w:pStyle w:val="style179"/>
        <w:numPr>
          <w:ilvl w:val="0"/>
          <w:numId w:val="1"/>
        </w:numPr>
        <w:rPr>
          <w:b/>
          <w:bCs/>
        </w:rPr>
      </w:pPr>
      <w:r>
        <w:rPr>
          <w:b/>
          <w:bCs/>
        </w:rPr>
        <w:t xml:space="preserve">Agency MBS Pool Yield Table Study (total </w:t>
      </w:r>
      <w:r>
        <w:rPr>
          <w:b/>
          <w:bCs/>
        </w:rPr>
        <w:t>0.5</w:t>
      </w:r>
      <w:r>
        <w:rPr>
          <w:b/>
          <w:bCs/>
        </w:rPr>
        <w:t xml:space="preserve"> point)</w:t>
      </w:r>
    </w:p>
    <w:p>
      <w:pPr>
        <w:pStyle w:val="style0"/>
        <w:rPr>
          <w:b/>
          <w:bCs/>
        </w:rPr>
      </w:pPr>
    </w:p>
    <w:p>
      <w:pPr>
        <w:pStyle w:val="style0"/>
        <w:rPr>
          <w:b/>
          <w:bCs/>
        </w:rPr>
      </w:pPr>
    </w:p>
    <w:p>
      <w:pPr>
        <w:pStyle w:val="style0"/>
        <w:rPr/>
      </w:pPr>
      <w:r>
        <w:t>Below are three Bloomberg yield tables for a Fannie Mae 30-year MBS under three different prices as input</w:t>
      </w:r>
      <w:r>
        <w:t xml:space="preserve">, </w:t>
      </w:r>
    </w:p>
    <w:p>
      <w:pPr>
        <w:pStyle w:val="style179"/>
        <w:numPr>
          <w:ilvl w:val="0"/>
          <w:numId w:val="9"/>
        </w:numPr>
        <w:rPr/>
      </w:pPr>
      <w:r>
        <w:t xml:space="preserve">Par price </w:t>
      </w:r>
      <w:r>
        <w:t>100;</w:t>
      </w:r>
    </w:p>
    <w:p>
      <w:pPr>
        <w:pStyle w:val="style179"/>
        <w:numPr>
          <w:ilvl w:val="0"/>
          <w:numId w:val="9"/>
        </w:numPr>
        <w:rPr/>
      </w:pPr>
      <w:r>
        <w:t>Premium Price 110; and</w:t>
      </w:r>
    </w:p>
    <w:p>
      <w:pPr>
        <w:pStyle w:val="style179"/>
        <w:numPr>
          <w:ilvl w:val="0"/>
          <w:numId w:val="9"/>
        </w:numPr>
        <w:rPr/>
      </w:pPr>
      <w:r>
        <w:t>Discount Price 95.</w:t>
      </w:r>
    </w:p>
    <w:p>
      <w:pPr>
        <w:pStyle w:val="style0"/>
        <w:rPr>
          <w:b/>
          <w:bCs/>
        </w:rPr>
      </w:pPr>
      <w:r>
        <w:rPr>
          <w:b/>
          <w:bCs/>
        </w:rPr>
        <w:t xml:space="preserve">Under seven standard interest </w:t>
      </w:r>
      <w:r>
        <w:rPr>
          <w:b/>
          <w:bCs/>
        </w:rPr>
        <w:t>rate</w:t>
      </w:r>
      <w:r>
        <w:rPr>
          <w:b/>
          <w:bCs/>
        </w:rPr>
        <w:t xml:space="preserve"> (and prepayment speed scenarios)</w:t>
      </w:r>
    </w:p>
    <w:p>
      <w:pPr>
        <w:pStyle w:val="style179"/>
        <w:numPr>
          <w:ilvl w:val="0"/>
          <w:numId w:val="10"/>
        </w:numPr>
        <w:rPr/>
      </w:pPr>
      <w:r>
        <w:t>+300: +300 MED (82 PSA)</w:t>
      </w:r>
    </w:p>
    <w:p>
      <w:pPr>
        <w:pStyle w:val="style179"/>
        <w:numPr>
          <w:ilvl w:val="0"/>
          <w:numId w:val="10"/>
        </w:numPr>
        <w:rPr/>
      </w:pPr>
      <w:r>
        <w:t>+200: +200 MED (89 PSA)</w:t>
      </w:r>
    </w:p>
    <w:p>
      <w:pPr>
        <w:pStyle w:val="style179"/>
        <w:numPr>
          <w:ilvl w:val="0"/>
          <w:numId w:val="10"/>
        </w:numPr>
        <w:rPr/>
      </w:pPr>
      <w:r>
        <w:t>+100: +100 MED (99 PSA)</w:t>
      </w:r>
    </w:p>
    <w:p>
      <w:pPr>
        <w:pStyle w:val="style179"/>
        <w:numPr>
          <w:ilvl w:val="0"/>
          <w:numId w:val="10"/>
        </w:numPr>
        <w:rPr/>
      </w:pPr>
      <w:r>
        <w:t>Base:  0 MED (116 PSA)</w:t>
      </w:r>
    </w:p>
    <w:p>
      <w:pPr>
        <w:pStyle w:val="style179"/>
        <w:numPr>
          <w:ilvl w:val="0"/>
          <w:numId w:val="10"/>
        </w:numPr>
        <w:rPr/>
      </w:pPr>
      <w:r>
        <w:t>-100: -100 MED (224 PSA)</w:t>
      </w:r>
    </w:p>
    <w:p>
      <w:pPr>
        <w:pStyle w:val="style179"/>
        <w:numPr>
          <w:ilvl w:val="0"/>
          <w:numId w:val="10"/>
        </w:numPr>
        <w:rPr/>
      </w:pPr>
      <w:r>
        <w:t>-200: -200 MED (554 PSA)</w:t>
      </w:r>
    </w:p>
    <w:p>
      <w:pPr>
        <w:pStyle w:val="style179"/>
        <w:numPr>
          <w:ilvl w:val="0"/>
          <w:numId w:val="10"/>
        </w:numPr>
        <w:rPr/>
      </w:pPr>
      <w:r>
        <w:t>-300: -300 MED (1434 PSA)</w:t>
      </w:r>
    </w:p>
    <w:p>
      <w:pPr>
        <w:pStyle w:val="style0"/>
        <w:rPr>
          <w:b/>
          <w:bCs/>
        </w:rPr>
      </w:pPr>
    </w:p>
    <w:p>
      <w:pPr>
        <w:pStyle w:val="style0"/>
        <w:rPr>
          <w:b/>
          <w:bCs/>
        </w:rPr>
      </w:pPr>
      <w:r>
        <w:rPr>
          <w:b/>
          <w:bCs/>
          <w:noProof/>
        </w:rPr>
        <w:object>
          <v:shape id="1028" type="#_x0000_t75" filled="f" stroked="f" style="margin-left:0.0pt;margin-top:0.0pt;width:432.0pt;height:243.0pt;mso-wrap-distance-left:0.0pt;mso-wrap-distance-right:0.0pt;visibility:visible;">
            <w10:anchorlock/>
            <v:imagedata r:id="rId3" embosscolor="white" o:title=""/>
            <v:fill/>
          </v:shape>
          <o:OLEObject Type="EMBED" ProgID="Excel.Chart.8" ShapeID="1028" DrawAspect="Content" ObjectID="0" r:id="rId4"/>
        </w:object>
      </w:r>
    </w:p>
    <w:p>
      <w:pPr>
        <w:pStyle w:val="style0"/>
        <w:rPr>
          <w:b/>
          <w:bCs/>
        </w:rPr>
      </w:pPr>
    </w:p>
    <w:p>
      <w:pPr>
        <w:pStyle w:val="style0"/>
        <w:rPr>
          <w:b/>
          <w:bCs/>
        </w:rPr>
      </w:pPr>
    </w:p>
    <w:p>
      <w:pPr>
        <w:pStyle w:val="style0"/>
        <w:rPr>
          <w:b/>
          <w:bCs/>
        </w:rPr>
      </w:pPr>
      <w:r>
        <w:rPr>
          <w:b/>
          <w:bCs/>
          <w:noProof/>
        </w:rPr>
        <w:drawing>
          <wp:inline distL="0" distT="0" distB="0" distR="0">
            <wp:extent cx="5486400" cy="3086100"/>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srcRect l="0" t="0" r="0" b="0"/>
                    <a:stretch/>
                  </pic:blipFill>
                  <pic:spPr>
                    <a:xfrm rot="0">
                      <a:off x="0" y="0"/>
                      <a:ext cx="5486400" cy="3086100"/>
                    </a:xfrm>
                    <a:prstGeom prst="rect"/>
                  </pic:spPr>
                </pic:pic>
              </a:graphicData>
            </a:graphic>
          </wp:inline>
        </w:drawing>
      </w:r>
    </w:p>
    <w:p>
      <w:pPr>
        <w:pStyle w:val="style0"/>
        <w:rPr>
          <w:b/>
          <w:bCs/>
        </w:rPr>
      </w:pPr>
    </w:p>
    <w:p>
      <w:pPr>
        <w:pStyle w:val="style0"/>
        <w:rPr>
          <w:b/>
          <w:bCs/>
        </w:rPr>
      </w:pPr>
    </w:p>
    <w:p>
      <w:pPr>
        <w:pStyle w:val="style0"/>
        <w:rPr>
          <w:b/>
          <w:bCs/>
        </w:rPr>
      </w:pPr>
      <w:r>
        <w:rPr>
          <w:b/>
          <w:bCs/>
          <w:noProof/>
        </w:rPr>
        <w:drawing>
          <wp:inline distL="0" distT="0" distB="0" distR="0">
            <wp:extent cx="5486400" cy="3086100"/>
            <wp:effectExtent l="0" t="0" r="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cstate="print"/>
                    <a:srcRect l="0" t="0" r="0" b="0"/>
                    <a:stretch/>
                  </pic:blipFill>
                  <pic:spPr>
                    <a:xfrm rot="0">
                      <a:off x="0" y="0"/>
                      <a:ext cx="5486400" cy="3086100"/>
                    </a:xfrm>
                    <a:prstGeom prst="rect"/>
                  </pic:spPr>
                </pic:pic>
              </a:graphicData>
            </a:graphic>
          </wp:inline>
        </w:drawing>
      </w:r>
    </w:p>
    <w:p>
      <w:pPr>
        <w:pStyle w:val="style0"/>
        <w:rPr>
          <w:b/>
          <w:bCs/>
        </w:rPr>
      </w:pPr>
    </w:p>
    <w:p>
      <w:pPr>
        <w:pStyle w:val="style179"/>
        <w:numPr>
          <w:ilvl w:val="0"/>
          <w:numId w:val="11"/>
        </w:numPr>
        <w:rPr/>
      </w:pPr>
      <w:r>
        <w:t xml:space="preserve">Please draw a line chart </w:t>
      </w:r>
    </w:p>
    <w:p>
      <w:pPr>
        <w:pStyle w:val="style179"/>
        <w:numPr>
          <w:ilvl w:val="1"/>
          <w:numId w:val="11"/>
        </w:numPr>
        <w:rPr/>
      </w:pPr>
      <w:r>
        <w:t>between Prepayment Speed in PSA and Avg Life (AL) (in Years)</w:t>
      </w:r>
    </w:p>
    <w:p>
      <w:pPr>
        <w:pStyle w:val="style179"/>
        <w:numPr>
          <w:ilvl w:val="1"/>
          <w:numId w:val="11"/>
        </w:numPr>
        <w:rPr/>
      </w:pPr>
      <w:r>
        <w:t>between Prepayment Speed in PSA and Modified Duration (in Years)</w:t>
      </w:r>
    </w:p>
    <w:p>
      <w:pPr>
        <w:pStyle w:val="style179"/>
        <w:rPr/>
      </w:pPr>
      <w:r>
        <w:t>Please describe their relationship using the charts.</w:t>
      </w:r>
    </w:p>
    <w:p>
      <w:pPr>
        <w:pStyle w:val="style0"/>
        <w:rPr/>
      </w:pPr>
    </w:p>
    <w:p>
      <w:pPr>
        <w:pStyle w:val="style179"/>
        <w:numPr>
          <w:ilvl w:val="0"/>
          <w:numId w:val="11"/>
        </w:numPr>
        <w:rPr/>
      </w:pPr>
      <w:r>
        <w:t xml:space="preserve">Please draw </w:t>
      </w:r>
      <w:r>
        <w:t>three</w:t>
      </w:r>
      <w:r>
        <w:t xml:space="preserve"> line</w:t>
      </w:r>
      <w:r>
        <w:t>s in a single</w:t>
      </w:r>
      <w:r>
        <w:t xml:space="preserve"> chart </w:t>
      </w:r>
    </w:p>
    <w:p>
      <w:pPr>
        <w:pStyle w:val="style179"/>
        <w:numPr>
          <w:ilvl w:val="1"/>
          <w:numId w:val="11"/>
        </w:numPr>
        <w:rPr/>
      </w:pPr>
      <w:r>
        <w:t xml:space="preserve">Yield and Interest rate scenario when Price = </w:t>
      </w:r>
      <w:r>
        <w:t>100;</w:t>
      </w:r>
    </w:p>
    <w:p>
      <w:pPr>
        <w:pStyle w:val="style179"/>
        <w:numPr>
          <w:ilvl w:val="1"/>
          <w:numId w:val="11"/>
        </w:numPr>
        <w:rPr/>
      </w:pPr>
      <w:r>
        <w:t xml:space="preserve">Yield and Interest rate scenario when Price = </w:t>
      </w:r>
      <w:r>
        <w:t>110;</w:t>
      </w:r>
    </w:p>
    <w:p>
      <w:pPr>
        <w:pStyle w:val="style179"/>
        <w:numPr>
          <w:ilvl w:val="1"/>
          <w:numId w:val="11"/>
        </w:numPr>
        <w:rPr/>
      </w:pPr>
      <w:r>
        <w:t xml:space="preserve">Yield and Interest rate scenario when Price = </w:t>
      </w:r>
      <w:r>
        <w:t>95;</w:t>
      </w:r>
    </w:p>
    <w:p>
      <w:pPr>
        <w:pStyle w:val="style0"/>
        <w:ind w:left="720"/>
        <w:rPr/>
      </w:pPr>
      <w:r>
        <w:t>Please describe the Yield pattern across interest rate scenarios under Discount Par and Premium price, respectively.</w:t>
      </w:r>
    </w:p>
    <w:p>
      <w:pPr>
        <w:pStyle w:val="style0"/>
        <w:ind w:left="720"/>
        <w:rPr/>
      </w:pPr>
      <w:r>
        <w:t>From the yield variance patterns, what conclusions can you reach based on fundamental risk-return theory?</w:t>
      </w:r>
    </w:p>
    <w:p>
      <w:pPr>
        <w:pStyle w:val="style0"/>
        <w:ind w:left="720"/>
        <w:rPr/>
      </w:pPr>
    </w:p>
    <w:p>
      <w:pPr>
        <w:pStyle w:val="style179"/>
        <w:numPr>
          <w:ilvl w:val="1"/>
          <w:numId w:val="11"/>
        </w:numPr>
        <w:rPr/>
      </w:pPr>
      <w:r>
        <w:t>Do you think the return measure “Yield” is a good return measure for Agency MBS pools? And why? Can you think of better return measure for Agency MBS pools?</w:t>
      </w:r>
    </w:p>
    <w:p>
      <w:pPr>
        <w:pStyle w:val="style0"/>
        <w:rPr/>
      </w:pPr>
      <w:r>
        <w:rPr>
          <w:lang w:val="en-US"/>
        </w:rPr>
        <w:t>(3) In excel</w:t>
      </w:r>
    </w:p>
    <w:p>
      <w:pPr>
        <w:pStyle w:val="style179"/>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7EFF" w:usb1="C000785B"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ambria">
    <w:altName w:val="Cambria"/>
    <w:panose1 w:val="02040503050004030204"/>
    <w:charset w:val="00"/>
    <w:family w:val="roman"/>
    <w:pitch w:val="variable"/>
    <w:sig w:usb0="E00002FF" w:usb1="400004FF" w:usb2="00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SimSun">
    <w:altName w:val="宋体"/>
    <w:panose1 w:val="02010600030001010101"/>
    <w:charset w:val="86"/>
    <w:family w:val="auto"/>
    <w:pitch w:val="variable"/>
    <w:sig w:usb0="00000203" w:usb1="288F0000" w:usb2="00000016" w:usb3="00000000" w:csb0="00040001" w:csb1="00000000"/>
  </w:font>
  <w:font w:name="MS Gothic">
    <w:altName w:val="ＭＳ ゴシック"/>
    <w:panose1 w:val="020b06090700020802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0002AFF" w:usb1="C000247B" w:usb2="00000009" w:usb3="00000000" w:csb0="000001FF" w:csb1="00000000"/>
  </w:font>
  <w:font w:name="ＭＳ 明朝">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1CC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24D2F8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5C7C75FE"/>
    <w:lvl w:ilvl="0" w:tplc="04090003">
      <w:start w:val="1"/>
      <w:numFmt w:val="bullet"/>
      <w:lvlText w:val="o"/>
      <w:lvlJc w:val="left"/>
      <w:pPr>
        <w:ind w:left="720" w:hanging="360"/>
      </w:pPr>
      <w:rPr>
        <w:rFonts w:ascii="Courier New" w:cs="Courier New" w:hAnsi="Courier New"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33DCC96A"/>
    <w:lvl w:ilvl="0" w:tplc="4AF27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000004"/>
    <w:multiLevelType w:val="hybridMultilevel"/>
    <w:tmpl w:val="5FE661E6"/>
    <w:lvl w:ilvl="0" w:tplc="D0C248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61A450C0"/>
    <w:lvl w:ilvl="0" w:tplc="6C2C52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D5304E78"/>
    <w:lvl w:ilvl="0" w:tplc="37566A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024A1BE2"/>
    <w:lvl w:ilvl="0" w:tplc="B6209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0D2475A6"/>
    <w:lvl w:ilvl="0" w:tplc="BA7A8FAA">
      <w:start w:val="1"/>
      <w:numFmt w:val="decimal"/>
      <w:lvlText w:val="%1."/>
      <w:lvlJc w:val="left"/>
      <w:pPr>
        <w:ind w:left="1140" w:hanging="4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9"/>
    <w:multiLevelType w:val="hybridMultilevel"/>
    <w:tmpl w:val="5FC4729C"/>
    <w:lvl w:ilvl="0" w:tplc="09E2A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121E7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5846CAE6"/>
    <w:lvl w:ilvl="0" w:tplc="8FB0D5C4">
      <w:start w:val="1"/>
      <w:numFmt w:val="decimal"/>
      <w:lvlText w:val="%1"/>
      <w:lvlJc w:val="left"/>
      <w:pPr>
        <w:ind w:left="2880" w:hanging="21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0C"/>
    <w:multiLevelType w:val="hybridMultilevel"/>
    <w:tmpl w:val="0A9EB89A"/>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cs="Courier New" w:hAnsi="Courier New" w:hint="default"/>
      </w:rPr>
    </w:lvl>
    <w:lvl w:ilvl="2">
      <w:start w:val="1"/>
      <w:numFmt w:val="bullet"/>
      <w:lvlText w:val=""/>
      <w:lvlJc w:val="left"/>
      <w:pPr>
        <w:ind w:left="2880" w:hanging="360"/>
      </w:pPr>
      <w:rPr>
        <w:rFonts w:ascii="Wingdings" w:hAnsi="Wingdings" w:hint="default"/>
      </w:rPr>
    </w:lvl>
    <w:lvl w:ilvl="3" w:tplc="04090003">
      <w:start w:val="1"/>
      <w:numFmt w:val="bullet"/>
      <w:lvlText w:val="o"/>
      <w:lvlJc w:val="left"/>
      <w:pPr>
        <w:ind w:left="3600" w:hanging="360"/>
      </w:pPr>
      <w:rPr>
        <w:rFonts w:ascii="Courier New" w:cs="Courier New" w:hAnsi="Courier New" w:hint="default"/>
      </w:rPr>
    </w:lvl>
    <w:lvl w:ilvl="4" w:tentative="1">
      <w:start w:val="1"/>
      <w:numFmt w:val="bullet"/>
      <w:lvlText w:val="o"/>
      <w:lvlJc w:val="left"/>
      <w:pPr>
        <w:ind w:left="4320" w:hanging="360"/>
      </w:pPr>
      <w:rPr>
        <w:rFonts w:ascii="Courier New" w:cs="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cs="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3">
    <w:nsid w:val="0000000D"/>
    <w:multiLevelType w:val="hybridMultilevel"/>
    <w:tmpl w:val="A39AE3D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cs="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0000000E"/>
    <w:multiLevelType w:val="hybridMultilevel"/>
    <w:tmpl w:val="4C3AA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4"/>
  </w:num>
  <w:num w:numId="4">
    <w:abstractNumId w:val="10"/>
  </w:num>
  <w:num w:numId="5">
    <w:abstractNumId w:val="11"/>
  </w:num>
  <w:num w:numId="6">
    <w:abstractNumId w:val="4"/>
  </w:num>
  <w:num w:numId="7">
    <w:abstractNumId w:val="2"/>
  </w:num>
  <w:num w:numId="8">
    <w:abstractNumId w:val="1"/>
  </w:num>
  <w:num w:numId="9">
    <w:abstractNumId w:val="9"/>
  </w:num>
  <w:num w:numId="10">
    <w:abstractNumId w:val="0"/>
  </w:num>
  <w:num w:numId="11">
    <w:abstractNumId w:val="6"/>
  </w:num>
  <w:num w:numId="12">
    <w:abstractNumId w:val="13"/>
  </w:num>
  <w:num w:numId="13">
    <w:abstractNumId w:val="12"/>
  </w:num>
  <w:num w:numId="14">
    <w:abstractNumId w:val="7"/>
  </w:num>
  <w:num w:numId="15">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4"/>
        <w:szCs w:val="24"/>
        <w:lang w:val="en-US" w:bidi="ar-SA" w:eastAsia="en-US"/>
      </w:rPr>
    </w:rPrDefault>
    <w:pPrDefault>
      <w:pPr/>
    </w:pPrDefault>
  </w:docDefaults>
  <w:style w:type="paragraph" w:default="1" w:styleId="style0">
    <w:name w:val="Normal"/>
    <w:next w:val="style0"/>
    <w:qFormat/>
    <w:pPr/>
    <w:rPr>
      <w:rFonts w:ascii="Times New Roman" w:cs="Times New Roman" w:eastAsia="SimSun" w:hAnsi="Times New Roman"/>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character" w:customStyle="1" w:styleId="style4097">
    <w:name w:val="Unresolved Mention"/>
    <w:basedOn w:val="style65"/>
    <w:next w:val="style4097"/>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hart" Target="charts/chart1.xml"/><Relationship Id="rId3" Type="http://schemas.openxmlformats.org/officeDocument/2006/relationships/image" Target="media/image1.emf"/><Relationship Id="rId4" Type="http://schemas.openxmlformats.org/officeDocument/2006/relationships/oleObject" Target="embeddings/oleObject1.bin"/><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2.emf"/><Relationship Id="rId6" Type="http://schemas.openxmlformats.org/officeDocument/2006/relationships/image" Target="media/image3.emf"/><Relationship Id="rId7" Type="http://schemas.openxmlformats.org/officeDocument/2006/relationships/styles" Target="styles.xml"/><Relationship Id="rId8" Type="http://schemas.openxmlformats.org/officeDocument/2006/relationships/fontTable" Target="fontTable.xml"/></Relationships>
</file>

<file path=word/charts/_rels/chart1.xml.rels><?xml version="1.0" encoding="UTF-8"?>
<Relationships xmlns="http://schemas.openxmlformats.org/package/2006/relationships"><Relationship Id="rId1" Type="http://schemas.openxmlformats.org/officeDocument/2006/relationships/oleObject" TargetMode="External" Target="file://Users/mouhamedibrahimamackysall/Desktop/HW%206_3%20Problem_Agency%20MBS%20Research.xlsx"/><Relationship Id="rId2" Type="http://schemas.microsoft.com/office/2011/relationships/chartStyle" Target="style1.xml"/><Relationship Id="rId3" Type="http://schemas.microsoft.com/office/2011/relationships/chartColorStyle" Target="colors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Relationship Between SMM and CPR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SN"/>
        </a:p>
      </c:txPr>
    </c:title>
    <c:autoTitleDeleted val="0"/>
    <c:plotArea>
      <c:layout/>
      <c:scatterChart>
        <c:scatterStyle val="lineMarker"/>
        <c:varyColors val="0"/>
        <c:ser>
          <c:idx val="0"/>
          <c:order val="0"/>
          <c:tx>
            <c:strRef>
              <c:f>Chart!$B$1</c:f>
              <c:strCache>
                <c:ptCount val="1"/>
                <c:pt idx="0">
                  <c:v>CPR</c:v>
                </c:pt>
              </c:strCache>
            </c:strRef>
          </c:tx>
          <c:spPr>
            <a:ln w="19050" cap="rnd">
              <a:noFill/>
              <a:round/>
            </a:ln>
            <a:effectLst/>
          </c:spPr>
          <c:marker>
            <c:symbol val="circle"/>
            <c:size val="5"/>
            <c:spPr>
              <a:solidFill>
                <a:schemeClr val="accent1"/>
              </a:solidFill>
              <a:ln w="9525">
                <a:solidFill>
                  <a:schemeClr val="accent1"/>
                </a:solidFill>
              </a:ln>
              <a:effectLst/>
            </c:spPr>
          </c:marker>
          <c:xVal>
            <c:numRef>
              <c:f>Chart!$A$2:$A$101</c:f>
              <c:numCache>
                <c:formatCode>0.00%</c:formatCode>
                <c:ptCount val="100"/>
                <c:pt idx="0">
                  <c:v>0.001</c:v>
                </c:pt>
                <c:pt idx="1">
                  <c:v>0.002</c:v>
                </c:pt>
                <c:pt idx="2">
                  <c:v>0.003</c:v>
                </c:pt>
                <c:pt idx="3">
                  <c:v>0.004</c:v>
                </c:pt>
                <c:pt idx="4">
                  <c:v>0.005</c:v>
                </c:pt>
                <c:pt idx="5">
                  <c:v>0.006</c:v>
                </c:pt>
                <c:pt idx="6">
                  <c:v>0.007</c:v>
                </c:pt>
                <c:pt idx="7">
                  <c:v>0.008</c:v>
                </c:pt>
                <c:pt idx="8">
                  <c:v>0.009</c:v>
                </c:pt>
                <c:pt idx="9">
                  <c:v>0.01</c:v>
                </c:pt>
                <c:pt idx="10">
                  <c:v>0.011</c:v>
                </c:pt>
                <c:pt idx="11">
                  <c:v>0.012</c:v>
                </c:pt>
                <c:pt idx="12">
                  <c:v>0.013</c:v>
                </c:pt>
                <c:pt idx="13">
                  <c:v>0.014</c:v>
                </c:pt>
                <c:pt idx="14">
                  <c:v>0.015</c:v>
                </c:pt>
                <c:pt idx="15">
                  <c:v>0.016</c:v>
                </c:pt>
                <c:pt idx="16">
                  <c:v>0.017</c:v>
                </c:pt>
                <c:pt idx="17">
                  <c:v>0.018</c:v>
                </c:pt>
                <c:pt idx="18">
                  <c:v>0.019</c:v>
                </c:pt>
                <c:pt idx="19">
                  <c:v>0.02</c:v>
                </c:pt>
                <c:pt idx="20">
                  <c:v>0.021</c:v>
                </c:pt>
                <c:pt idx="21">
                  <c:v>0.022</c:v>
                </c:pt>
                <c:pt idx="22">
                  <c:v>0.023</c:v>
                </c:pt>
                <c:pt idx="23">
                  <c:v>0.024</c:v>
                </c:pt>
                <c:pt idx="24">
                  <c:v>0.025</c:v>
                </c:pt>
                <c:pt idx="25">
                  <c:v>0.026</c:v>
                </c:pt>
                <c:pt idx="26">
                  <c:v>0.027</c:v>
                </c:pt>
                <c:pt idx="27">
                  <c:v>0.028</c:v>
                </c:pt>
                <c:pt idx="28">
                  <c:v>0.029</c:v>
                </c:pt>
                <c:pt idx="29">
                  <c:v>0.03</c:v>
                </c:pt>
                <c:pt idx="30">
                  <c:v>0.031</c:v>
                </c:pt>
                <c:pt idx="31">
                  <c:v>0.032</c:v>
                </c:pt>
                <c:pt idx="32">
                  <c:v>0.033</c:v>
                </c:pt>
                <c:pt idx="33">
                  <c:v>0.034</c:v>
                </c:pt>
                <c:pt idx="34">
                  <c:v>0.035</c:v>
                </c:pt>
                <c:pt idx="35">
                  <c:v>0.036</c:v>
                </c:pt>
                <c:pt idx="36">
                  <c:v>0.037</c:v>
                </c:pt>
                <c:pt idx="37">
                  <c:v>0.038</c:v>
                </c:pt>
                <c:pt idx="38">
                  <c:v>0.039</c:v>
                </c:pt>
                <c:pt idx="39">
                  <c:v>0.04</c:v>
                </c:pt>
                <c:pt idx="40">
                  <c:v>0.041</c:v>
                </c:pt>
                <c:pt idx="41">
                  <c:v>0.042</c:v>
                </c:pt>
                <c:pt idx="42">
                  <c:v>0.043</c:v>
                </c:pt>
                <c:pt idx="43">
                  <c:v>0.044</c:v>
                </c:pt>
                <c:pt idx="44">
                  <c:v>0.045</c:v>
                </c:pt>
                <c:pt idx="45">
                  <c:v>0.046</c:v>
                </c:pt>
                <c:pt idx="46">
                  <c:v>0.047</c:v>
                </c:pt>
                <c:pt idx="47">
                  <c:v>0.048</c:v>
                </c:pt>
                <c:pt idx="48">
                  <c:v>0.049</c:v>
                </c:pt>
                <c:pt idx="49">
                  <c:v>0.05</c:v>
                </c:pt>
                <c:pt idx="50">
                  <c:v>0.051</c:v>
                </c:pt>
                <c:pt idx="51">
                  <c:v>0.052</c:v>
                </c:pt>
                <c:pt idx="52">
                  <c:v>0.053</c:v>
                </c:pt>
                <c:pt idx="53">
                  <c:v>0.054</c:v>
                </c:pt>
                <c:pt idx="54">
                  <c:v>0.055</c:v>
                </c:pt>
                <c:pt idx="55">
                  <c:v>0.056</c:v>
                </c:pt>
                <c:pt idx="56">
                  <c:v>0.057</c:v>
                </c:pt>
                <c:pt idx="57">
                  <c:v>0.058</c:v>
                </c:pt>
                <c:pt idx="58">
                  <c:v>0.059</c:v>
                </c:pt>
                <c:pt idx="59">
                  <c:v>0.06</c:v>
                </c:pt>
                <c:pt idx="60">
                  <c:v>0.061</c:v>
                </c:pt>
                <c:pt idx="61">
                  <c:v>0.062</c:v>
                </c:pt>
                <c:pt idx="62">
                  <c:v>0.063</c:v>
                </c:pt>
                <c:pt idx="63">
                  <c:v>0.064</c:v>
                </c:pt>
                <c:pt idx="64">
                  <c:v>0.065</c:v>
                </c:pt>
                <c:pt idx="65">
                  <c:v>0.066</c:v>
                </c:pt>
                <c:pt idx="66">
                  <c:v>0.067</c:v>
                </c:pt>
                <c:pt idx="67">
                  <c:v>0.068</c:v>
                </c:pt>
                <c:pt idx="68">
                  <c:v>0.069</c:v>
                </c:pt>
                <c:pt idx="69">
                  <c:v>0.07</c:v>
                </c:pt>
                <c:pt idx="70">
                  <c:v>0.071</c:v>
                </c:pt>
                <c:pt idx="71">
                  <c:v>0.072</c:v>
                </c:pt>
                <c:pt idx="72">
                  <c:v>0.073</c:v>
                </c:pt>
                <c:pt idx="73">
                  <c:v>0.074</c:v>
                </c:pt>
                <c:pt idx="74">
                  <c:v>0.075</c:v>
                </c:pt>
                <c:pt idx="75">
                  <c:v>0.076</c:v>
                </c:pt>
                <c:pt idx="76">
                  <c:v>0.077</c:v>
                </c:pt>
                <c:pt idx="77">
                  <c:v>0.078</c:v>
                </c:pt>
                <c:pt idx="78">
                  <c:v>0.079</c:v>
                </c:pt>
                <c:pt idx="79">
                  <c:v>0.08</c:v>
                </c:pt>
                <c:pt idx="80">
                  <c:v>0.081</c:v>
                </c:pt>
                <c:pt idx="81">
                  <c:v>0.082</c:v>
                </c:pt>
                <c:pt idx="82">
                  <c:v>0.083</c:v>
                </c:pt>
                <c:pt idx="83">
                  <c:v>0.084</c:v>
                </c:pt>
                <c:pt idx="84">
                  <c:v>0.085</c:v>
                </c:pt>
                <c:pt idx="85">
                  <c:v>0.086</c:v>
                </c:pt>
                <c:pt idx="86">
                  <c:v>0.087</c:v>
                </c:pt>
                <c:pt idx="87">
                  <c:v>0.088</c:v>
                </c:pt>
                <c:pt idx="88">
                  <c:v>0.089</c:v>
                </c:pt>
                <c:pt idx="89">
                  <c:v>0.09</c:v>
                </c:pt>
                <c:pt idx="90">
                  <c:v>0.091</c:v>
                </c:pt>
                <c:pt idx="91">
                  <c:v>0.092</c:v>
                </c:pt>
                <c:pt idx="92">
                  <c:v>0.093</c:v>
                </c:pt>
                <c:pt idx="93">
                  <c:v>0.094</c:v>
                </c:pt>
                <c:pt idx="94">
                  <c:v>0.095</c:v>
                </c:pt>
                <c:pt idx="95">
                  <c:v>0.096</c:v>
                </c:pt>
                <c:pt idx="96">
                  <c:v>0.097</c:v>
                </c:pt>
                <c:pt idx="97">
                  <c:v>0.098</c:v>
                </c:pt>
                <c:pt idx="98">
                  <c:v>0.099</c:v>
                </c:pt>
                <c:pt idx="99">
                  <c:v>0.1</c:v>
                </c:pt>
              </c:numCache>
            </c:numRef>
          </c:xVal>
          <c:yVal>
            <c:numRef>
              <c:f>Chart!$B$2:$B$101</c:f>
              <c:numCache>
                <c:formatCode>0.00%</c:formatCode>
                <c:ptCount val="100"/>
                <c:pt idx="0">
                  <c:v>0.0119342195057910</c:v>
                </c:pt>
                <c:pt idx="1">
                  <c:v>0.0237377521052848</c:v>
                </c:pt>
                <c:pt idx="2">
                  <c:v>0.0354119000967841</c:v>
                </c:pt>
                <c:pt idx="3">
                  <c:v>0.0469579540872362</c:v>
                </c:pt>
                <c:pt idx="4">
                  <c:v>0.0583771930856241</c:v>
                </c:pt>
                <c:pt idx="5">
                  <c:v>0.0696708845957026</c:v>
                </c:pt>
                <c:pt idx="6">
                  <c:v>0.0808402847080860</c:v>
                </c:pt>
                <c:pt idx="7">
                  <c:v>0.0918866381916880</c:v>
                </c:pt>
                <c:pt idx="8">
                  <c:v>0.102811178584523</c:v>
                </c:pt>
                <c:pt idx="9">
                  <c:v>0.113615128283871</c:v>
                </c:pt>
                <c:pt idx="10">
                  <c:v>0.124299698635798</c:v>
                </c:pt>
                <c:pt idx="11">
                  <c:v>0.134866090024062</c:v>
                </c:pt>
                <c:pt idx="12">
                  <c:v>0.145315491958380</c:v>
                </c:pt>
                <c:pt idx="13">
                  <c:v>0.155649083162079</c:v>
                </c:pt>
                <c:pt idx="14">
                  <c:v>0.165868031659123</c:v>
                </c:pt>
                <c:pt idx="15">
                  <c:v>0.175973494860534</c:v>
                </c:pt>
                <c:pt idx="16">
                  <c:v>0.185966619650192</c:v>
                </c:pt>
                <c:pt idx="17">
                  <c:v>0.195848542470028</c:v>
                </c:pt>
                <c:pt idx="18">
                  <c:v>0.205620389404624</c:v>
                </c:pt>
                <c:pt idx="19">
                  <c:v>0.215283276265200</c:v>
                </c:pt>
                <c:pt idx="20">
                  <c:v>0.224838308673010</c:v>
                </c:pt>
                <c:pt idx="21">
                  <c:v>0.234286582142144</c:v>
                </c:pt>
                <c:pt idx="22">
                  <c:v>0.243629182161746</c:v>
                </c:pt>
                <c:pt idx="23">
                  <c:v>0.252867184277633</c:v>
                </c:pt>
                <c:pt idx="24">
                  <c:v>0.262001654173349</c:v>
                </c:pt>
                <c:pt idx="25">
                  <c:v>0.271033647750625</c:v>
                </c:pt>
                <c:pt idx="26">
                  <c:v>0.279964211209274</c:v>
                </c:pt>
                <c:pt idx="27">
                  <c:v>0.288794381126510</c:v>
                </c:pt>
                <c:pt idx="28">
                  <c:v>0.297525184535704</c:v>
                </c:pt>
                <c:pt idx="29">
                  <c:v>0.306157639004562</c:v>
                </c:pt>
                <c:pt idx="30">
                  <c:v>0.314692752712763</c:v>
                </c:pt>
                <c:pt idx="31">
                  <c:v>0.323131524529020</c:v>
                </c:pt>
                <c:pt idx="32">
                  <c:v>0.331474944087598</c:v>
                </c:pt>
                <c:pt idx="33">
                  <c:v>0.339723991864275</c:v>
                </c:pt>
                <c:pt idx="34">
                  <c:v>0.347879639251766</c:v>
                </c:pt>
                <c:pt idx="35">
                  <c:v>0.355942848634586</c:v>
                </c:pt>
                <c:pt idx="36">
                  <c:v>0.363914573463388</c:v>
                </c:pt>
                <c:pt idx="37">
                  <c:v>0.371795758328758</c:v>
                </c:pt>
                <c:pt idx="38">
                  <c:v>0.379587339034473</c:v>
                </c:pt>
                <c:pt idx="39">
                  <c:v>0.387290242670233</c:v>
                </c:pt>
                <c:pt idx="40">
                  <c:v>0.394905387683865</c:v>
                </c:pt>
                <c:pt idx="41">
                  <c:v>0.402433683953001</c:v>
                </c:pt>
                <c:pt idx="42">
                  <c:v>0.409876032856235</c:v>
                </c:pt>
                <c:pt idx="43">
                  <c:v>0.417233327343766</c:v>
                </c:pt>
                <c:pt idx="44">
                  <c:v>0.424506452007523</c:v>
                </c:pt>
                <c:pt idx="45">
                  <c:v>0.431696283150782</c:v>
                </c:pt>
                <c:pt idx="46">
                  <c:v>0.438803688857272</c:v>
                </c:pt>
                <c:pt idx="47">
                  <c:v>0.445829529059776</c:v>
                </c:pt>
                <c:pt idx="48">
                  <c:v>0.452774655608239</c:v>
                </c:pt>
                <c:pt idx="49">
                  <c:v>0.459639912337363</c:v>
                </c:pt>
                <c:pt idx="50">
                  <c:v>0.466426135133721</c:v>
                </c:pt>
                <c:pt idx="51">
                  <c:v>0.473134152002366</c:v>
                </c:pt>
                <c:pt idx="52">
                  <c:v>0.479764783132965</c:v>
                </c:pt>
                <c:pt idx="53">
                  <c:v>0.486318840965435</c:v>
                </c:pt>
                <c:pt idx="54">
                  <c:v>0.492797130255099</c:v>
                </c:pt>
                <c:pt idx="55">
                  <c:v>0.499200448137368</c:v>
                </c:pt>
                <c:pt idx="56">
                  <c:v>0.505529584191942</c:v>
                </c:pt>
                <c:pt idx="57">
                  <c:v>0.511785320506531</c:v>
                </c:pt>
                <c:pt idx="58">
                  <c:v>0.517968431740118</c:v>
                </c:pt>
                <c:pt idx="59">
                  <c:v>0.524079685185747</c:v>
                </c:pt>
                <c:pt idx="60">
                  <c:v>0.530119840832839</c:v>
                </c:pt>
                <c:pt idx="61">
                  <c:v>0.536089651429067</c:v>
                </c:pt>
                <c:pt idx="62">
                  <c:v>0.541989862541744</c:v>
                </c:pt>
                <c:pt idx="63">
                  <c:v>0.547821212618783</c:v>
                </c:pt>
                <c:pt idx="64">
                  <c:v>0.553584433049180</c:v>
                </c:pt>
                <c:pt idx="65">
                  <c:v>0.559280248223067</c:v>
                </c:pt>
                <c:pt idx="66">
                  <c:v>0.564909375591298</c:v>
                </c:pt>
                <c:pt idx="67">
                  <c:v>0.570472525724611</c:v>
                </c:pt>
                <c:pt idx="68">
                  <c:v>0.575970402372326</c:v>
                </c:pt>
                <c:pt idx="69">
                  <c:v>0.581403702520630</c:v>
                </c:pt>
                <c:pt idx="70">
                  <c:v>0.586773116450397</c:v>
                </c:pt>
                <c:pt idx="71">
                  <c:v>0.592079327794605</c:v>
                </c:pt>
                <c:pt idx="72">
                  <c:v>0.597323013595294</c:v>
                </c:pt>
                <c:pt idx="73">
                  <c:v>0.602504844360118</c:v>
                </c:pt>
                <c:pt idx="74">
                  <c:v>0.607625484118459</c:v>
                </c:pt>
                <c:pt idx="75">
                  <c:v>0.612685590477130</c:v>
                </c:pt>
                <c:pt idx="76">
                  <c:v>0.617685814675643</c:v>
                </c:pt>
                <c:pt idx="77">
                  <c:v>0.622626801641078</c:v>
                </c:pt>
                <c:pt idx="78">
                  <c:v>0.627509190042524</c:v>
                </c:pt>
                <c:pt idx="79">
                  <c:v>0.632333612345118</c:v>
                </c:pt>
                <c:pt idx="80">
                  <c:v>0.637100694863666</c:v>
                </c:pt>
                <c:pt idx="81">
                  <c:v>0.641811057815869</c:v>
                </c:pt>
                <c:pt idx="82">
                  <c:v>0.646465315375136</c:v>
                </c:pt>
                <c:pt idx="83">
                  <c:v>0.651064075723004</c:v>
                </c:pt>
                <c:pt idx="84">
                  <c:v>0.655607941101151</c:v>
                </c:pt>
                <c:pt idx="85">
                  <c:v>0.660097507863023</c:v>
                </c:pt>
                <c:pt idx="86">
                  <c:v>0.664533366525058</c:v>
                </c:pt>
                <c:pt idx="87">
                  <c:v>0.668916101817534</c:v>
                </c:pt>
                <c:pt idx="88">
                  <c:v>0.673246292735009</c:v>
                </c:pt>
                <c:pt idx="89">
                  <c:v>0.677524512586395</c:v>
                </c:pt>
                <c:pt idx="90">
                  <c:v>0.681751329044639</c:v>
                </c:pt>
                <c:pt idx="91">
                  <c:v>0.685927304196023</c:v>
                </c:pt>
                <c:pt idx="92">
                  <c:v>0.690052994589092</c:v>
                </c:pt>
                <c:pt idx="93">
                  <c:v>0.694128951283203</c:v>
                </c:pt>
                <c:pt idx="94">
                  <c:v>0.698155719896700</c:v>
                </c:pt>
                <c:pt idx="95">
                  <c:v>0.702133840654723</c:v>
                </c:pt>
                <c:pt idx="96">
                  <c:v>0.706063848436643</c:v>
                </c:pt>
                <c:pt idx="97">
                  <c:v>0.709946272823139</c:v>
                </c:pt>
                <c:pt idx="98">
                  <c:v>0.713781638142905</c:v>
                </c:pt>
                <c:pt idx="99">
                  <c:v>0.717570463519000</c:v>
                </c:pt>
              </c:numCache>
            </c:numRef>
          </c:yVal>
          <c:smooth val="0"/>
        </c:ser>
        <c:dLbls>
          <c:showLegendKey val="0"/>
          <c:showVal val="0"/>
          <c:showCatName val="0"/>
          <c:showSerName val="0"/>
          <c:showPercent val="0"/>
          <c:showBubbleSize val="0"/>
        </c:dLbls>
        <c:axId val="1454798912"/>
        <c:axId val="1454800624"/>
      </c:scatterChart>
      <c:valAx>
        <c:axId val="14547989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SMM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S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N"/>
          </a:p>
        </c:txPr>
        <c:crossAx val="1454800624"/>
        <c:crosses val="autoZero"/>
        <c:crossBetween val="midCat"/>
      </c:valAx>
      <c:valAx>
        <c:axId val="145480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CPR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S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SN"/>
          </a:p>
        </c:txPr>
        <c:crossAx val="14547989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SN"/>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752</Words>
  <Pages>5</Pages>
  <Characters>3884</Characters>
  <Application>WPS Office</Application>
  <DocSecurity>0</DocSecurity>
  <Paragraphs>113</Paragraphs>
  <ScaleCrop>false</ScaleCrop>
  <LinksUpToDate>false</LinksUpToDate>
  <CharactersWithSpaces>4649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2026-03-08T05:52:00Z</dcterms:created>
  <dc:creator>Jianlin Zhai</dc:creator>
  <lastModifiedBy>M2006C3MG</lastModifiedBy>
  <dcterms:modified xsi:type="dcterms:W3CDTF">2026-03-08T06:03:14Z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3eee0dd1c26b44d6bc30fe03f897115c</vt:lpwstr>
  </property>
</Properties>
</file>