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Homework Set #6</w:t>
      </w:r>
    </w:p>
    <w:p>
      <w:r>
        <w:t>MBS Prepayment Speed &amp; Yield Analysis</w:t>
      </w:r>
    </w:p>
    <w:p/>
    <w:p>
      <w:pPr>
        <w:pStyle w:val="Heading1"/>
      </w:pPr>
      <w:r>
        <w:rPr>
          <w:color w:val="1E3A8A"/>
        </w:rPr>
        <w:t>Section 1 – Prepayment Measurement (0.5 pts)</w:t>
      </w:r>
    </w:p>
    <w:p>
      <w:pPr>
        <w:pStyle w:val="Heading2"/>
      </w:pPr>
      <w:r>
        <w:rPr>
          <w:color w:val="1D4ED8"/>
        </w:rPr>
        <w:t>Q1: SMM vs CPR Chart</w:t>
      </w:r>
    </w:p>
    <w:p>
      <w:r>
        <w:t>The chart below shows the relationship between the Single Monthly Mortality (SMM) and the Conditional Prepayment Rate (CPR) from SMM = 0.1% to 10% in 0.1% steps.</w:t>
      </w:r>
    </w:p>
    <w:p>
      <w:pPr>
        <w:jc w:val="center"/>
      </w:pPr>
      <w:r>
        <w:drawing>
          <wp:inline xmlns:a="http://schemas.openxmlformats.org/drawingml/2006/main" xmlns:pic="http://schemas.openxmlformats.org/drawingml/2006/picture">
            <wp:extent cx="5669280" cy="3470887"/>
            <wp:docPr id="1" name="Picture 1"/>
            <wp:cNvGraphicFramePr>
              <a:graphicFrameLocks noChangeAspect="1"/>
            </wp:cNvGraphicFramePr>
            <a:graphic>
              <a:graphicData uri="http://schemas.openxmlformats.org/drawingml/2006/picture">
                <pic:pic>
                  <pic:nvPicPr>
                    <pic:cNvPr id="0" name="q1_smm_vs_cpr.png"/>
                    <pic:cNvPicPr/>
                  </pic:nvPicPr>
                  <pic:blipFill>
                    <a:blip r:embed="rId9"/>
                    <a:stretch>
                      <a:fillRect/>
                    </a:stretch>
                  </pic:blipFill>
                  <pic:spPr>
                    <a:xfrm>
                      <a:off x="0" y="0"/>
                      <a:ext cx="5669280" cy="3470887"/>
                    </a:xfrm>
                    <a:prstGeom prst="rect"/>
                  </pic:spPr>
                </pic:pic>
              </a:graphicData>
            </a:graphic>
          </wp:inline>
        </w:drawing>
      </w:r>
    </w:p>
    <w:p>
      <w:r>
        <w:t>Conclusions:</w:t>
        <w:br/>
        <w:t>• The relationship is nonlinear — CPR grows faster than SMM as SMM increases.</w:t>
        <w:br/>
        <w:t>• This is because CPR compounds the monthly rate over 12 months: CPR = 1-(1-SMM)^12.</w:t>
        <w:br/>
        <w:t>• At low SMM (e.g., 0.1%), CPR ≈ 1.2% (≈12×SMM), nearly linear.</w:t>
        <w:br/>
        <w:t>• At high SMM (e.g., 10%), CPR ≈ 71.8%, far exceeding 12×10% = 120% because the compounding effect 'caps' the annualized rate below 100%.</w:t>
        <w:br/>
        <w:t>• The convex curve illustrates why compounding matters for prepayment speed interpretation.</w:t>
      </w:r>
    </w:p>
    <w:p>
      <w:pPr>
        <w:pStyle w:val="Heading2"/>
      </w:pPr>
      <w:r>
        <w:rPr>
          <w:color w:val="1D4ED8"/>
        </w:rPr>
        <w:t>Q2: Converting SMM to CPR to PSA</w:t>
      </w:r>
    </w:p>
    <w:p>
      <w:r>
        <w:t>Using the formulas: CPR = 1 – (1 – SMM)^12  and  PSA = CPR / (min(Age,30) × 0.2%)</w:t>
      </w:r>
    </w:p>
    <w:p>
      <w:r>
        <w:rPr>
          <w:b/>
        </w:rPr>
        <w:t>Table 1 – SMM to CPR to PSA Conversion</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rPr>
                <w:b/>
              </w:rPr>
              <w:t>Age</w:t>
            </w:r>
          </w:p>
        </w:tc>
        <w:tc>
          <w:tcPr>
            <w:tcW w:type="dxa" w:w="2160"/>
          </w:tcPr>
          <w:p>
            <w:r>
              <w:rPr>
                <w:b/>
              </w:rPr>
              <w:t>SMM (%)</w:t>
            </w:r>
          </w:p>
        </w:tc>
        <w:tc>
          <w:tcPr>
            <w:tcW w:type="dxa" w:w="2160"/>
          </w:tcPr>
          <w:p>
            <w:r>
              <w:rPr>
                <w:b/>
              </w:rPr>
              <w:t>CPR (%)</w:t>
            </w:r>
          </w:p>
        </w:tc>
        <w:tc>
          <w:tcPr>
            <w:tcW w:type="dxa" w:w="2160"/>
          </w:tcPr>
          <w:p>
            <w:r>
              <w:rPr>
                <w:b/>
              </w:rPr>
              <w:t>PSA (%)</w:t>
            </w:r>
          </w:p>
        </w:tc>
      </w:tr>
      <w:tr>
        <w:tc>
          <w:tcPr>
            <w:tcW w:type="dxa" w:w="2160"/>
          </w:tcPr>
          <w:p>
            <w:r>
              <w:t>5.0</w:t>
            </w:r>
          </w:p>
        </w:tc>
        <w:tc>
          <w:tcPr>
            <w:tcW w:type="dxa" w:w="2160"/>
          </w:tcPr>
          <w:p>
            <w:r>
              <w:t>0.6</w:t>
            </w:r>
          </w:p>
        </w:tc>
        <w:tc>
          <w:tcPr>
            <w:tcW w:type="dxa" w:w="2160"/>
          </w:tcPr>
          <w:p>
            <w:r>
              <w:t>6.9671</w:t>
            </w:r>
          </w:p>
        </w:tc>
        <w:tc>
          <w:tcPr>
            <w:tcW w:type="dxa" w:w="2160"/>
          </w:tcPr>
          <w:p>
            <w:r>
              <w:t>696.7</w:t>
            </w:r>
          </w:p>
        </w:tc>
      </w:tr>
      <w:tr>
        <w:tc>
          <w:tcPr>
            <w:tcW w:type="dxa" w:w="2160"/>
          </w:tcPr>
          <w:p>
            <w:r>
              <w:t>6.0</w:t>
            </w:r>
          </w:p>
        </w:tc>
        <w:tc>
          <w:tcPr>
            <w:tcW w:type="dxa" w:w="2160"/>
          </w:tcPr>
          <w:p>
            <w:r>
              <w:t>1.0</w:t>
            </w:r>
          </w:p>
        </w:tc>
        <w:tc>
          <w:tcPr>
            <w:tcW w:type="dxa" w:w="2160"/>
          </w:tcPr>
          <w:p>
            <w:r>
              <w:t>11.3615</w:t>
            </w:r>
          </w:p>
        </w:tc>
        <w:tc>
          <w:tcPr>
            <w:tcW w:type="dxa" w:w="2160"/>
          </w:tcPr>
          <w:p>
            <w:r>
              <w:t>946.8</w:t>
            </w:r>
          </w:p>
        </w:tc>
      </w:tr>
      <w:tr>
        <w:tc>
          <w:tcPr>
            <w:tcW w:type="dxa" w:w="2160"/>
          </w:tcPr>
          <w:p>
            <w:r>
              <w:t>7.0</w:t>
            </w:r>
          </w:p>
        </w:tc>
        <w:tc>
          <w:tcPr>
            <w:tcW w:type="dxa" w:w="2160"/>
          </w:tcPr>
          <w:p>
            <w:r>
              <w:t>2.0</w:t>
            </w:r>
          </w:p>
        </w:tc>
        <w:tc>
          <w:tcPr>
            <w:tcW w:type="dxa" w:w="2160"/>
          </w:tcPr>
          <w:p>
            <w:r>
              <w:t>21.5283</w:t>
            </w:r>
          </w:p>
        </w:tc>
        <w:tc>
          <w:tcPr>
            <w:tcW w:type="dxa" w:w="2160"/>
          </w:tcPr>
          <w:p>
            <w:r>
              <w:t>1537.7</w:t>
            </w:r>
          </w:p>
        </w:tc>
      </w:tr>
    </w:tbl>
    <w:p/>
    <w:p>
      <w:pPr>
        <w:pStyle w:val="Heading2"/>
      </w:pPr>
      <w:r>
        <w:rPr>
          <w:color w:val="1D4ED8"/>
        </w:rPr>
        <w:t>Q3: Derived Formulas</w:t>
      </w:r>
    </w:p>
    <w:p>
      <w:r>
        <w:t>SMM in terms of CPR:</w:t>
        <w:br/>
        <w:t xml:space="preserve">    SMM = 1 – (1 – CPR)^(1/12)</w:t>
        <w:br/>
        <w:br/>
        <w:t>CPR in terms of PSA:</w:t>
        <w:br/>
        <w:t xml:space="preserve">    PSA benchmark CPR at age t = min(t, 30) × 0.2%   (annualized CPR at 100 PSA)</w:t>
        <w:br/>
        <w:t xml:space="preserve">    CPR = PSA% × min(t, 30) × 0.2% / 100</w:t>
        <w:br/>
        <w:br/>
        <w:t xml:space="preserve">    where PSA% is the pool's prepayment speed expressed as a percentage of the standard PSA prepayment benchmark; t is the pool age in months.</w:t>
      </w:r>
    </w:p>
    <w:p>
      <w:pPr>
        <w:pStyle w:val="Heading2"/>
      </w:pPr>
      <w:r>
        <w:rPr>
          <w:color w:val="1D4ED8"/>
        </w:rPr>
        <w:t>Q4: Weighted Average Life (WAL)</w:t>
      </w:r>
    </w:p>
    <w:p>
      <w:r>
        <w:t>Given principal payment schedule (months 1–5 assumed):</w:t>
        <w:br/>
        <w:t xml:space="preserve">  Month 1: $50   |  Month 2: $100   |  Month 3: $200   |  Month 4: $400   |  Month 5: $800</w:t>
        <w:br/>
        <w:br/>
        <w:t>Formula:  WAL = Σ(month × principal_payment) / Σ(principal_payment)</w:t>
        <w:br/>
      </w:r>
    </w:p>
    <w:p>
      <w:r>
        <w:rPr>
          <w:b/>
        </w:rPr>
        <w:t>Table 2 – WAL Calculation</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rPr>
              <w:t>Month</w:t>
            </w:r>
          </w:p>
        </w:tc>
        <w:tc>
          <w:tcPr>
            <w:tcW w:type="dxa" w:w="2880"/>
          </w:tcPr>
          <w:p>
            <w:r>
              <w:rPr>
                <w:b/>
              </w:rPr>
              <w:t>Principal ($)</w:t>
            </w:r>
          </w:p>
        </w:tc>
        <w:tc>
          <w:tcPr>
            <w:tcW w:type="dxa" w:w="2880"/>
          </w:tcPr>
          <w:p>
            <w:r>
              <w:rPr>
                <w:b/>
              </w:rPr>
              <w:t>Month × Principal</w:t>
            </w:r>
          </w:p>
        </w:tc>
      </w:tr>
      <w:tr>
        <w:tc>
          <w:tcPr>
            <w:tcW w:type="dxa" w:w="2880"/>
          </w:tcPr>
          <w:p>
            <w:r>
              <w:t>1</w:t>
            </w:r>
          </w:p>
        </w:tc>
        <w:tc>
          <w:tcPr>
            <w:tcW w:type="dxa" w:w="2880"/>
          </w:tcPr>
          <w:p>
            <w:r>
              <w:t>50</w:t>
            </w:r>
          </w:p>
        </w:tc>
        <w:tc>
          <w:tcPr>
            <w:tcW w:type="dxa" w:w="2880"/>
          </w:tcPr>
          <w:p>
            <w:r>
              <w:t>50</w:t>
            </w:r>
          </w:p>
        </w:tc>
      </w:tr>
      <w:tr>
        <w:tc>
          <w:tcPr>
            <w:tcW w:type="dxa" w:w="2880"/>
          </w:tcPr>
          <w:p>
            <w:r>
              <w:t>2</w:t>
            </w:r>
          </w:p>
        </w:tc>
        <w:tc>
          <w:tcPr>
            <w:tcW w:type="dxa" w:w="2880"/>
          </w:tcPr>
          <w:p>
            <w:r>
              <w:t>100</w:t>
            </w:r>
          </w:p>
        </w:tc>
        <w:tc>
          <w:tcPr>
            <w:tcW w:type="dxa" w:w="2880"/>
          </w:tcPr>
          <w:p>
            <w:r>
              <w:t>200</w:t>
            </w:r>
          </w:p>
        </w:tc>
      </w:tr>
      <w:tr>
        <w:tc>
          <w:tcPr>
            <w:tcW w:type="dxa" w:w="2880"/>
          </w:tcPr>
          <w:p>
            <w:r>
              <w:t>3</w:t>
            </w:r>
          </w:p>
        </w:tc>
        <w:tc>
          <w:tcPr>
            <w:tcW w:type="dxa" w:w="2880"/>
          </w:tcPr>
          <w:p>
            <w:r>
              <w:t>200</w:t>
            </w:r>
          </w:p>
        </w:tc>
        <w:tc>
          <w:tcPr>
            <w:tcW w:type="dxa" w:w="2880"/>
          </w:tcPr>
          <w:p>
            <w:r>
              <w:t>600</w:t>
            </w:r>
          </w:p>
        </w:tc>
      </w:tr>
      <w:tr>
        <w:tc>
          <w:tcPr>
            <w:tcW w:type="dxa" w:w="2880"/>
          </w:tcPr>
          <w:p>
            <w:r>
              <w:t>4</w:t>
            </w:r>
          </w:p>
        </w:tc>
        <w:tc>
          <w:tcPr>
            <w:tcW w:type="dxa" w:w="2880"/>
          </w:tcPr>
          <w:p>
            <w:r>
              <w:t>400</w:t>
            </w:r>
          </w:p>
        </w:tc>
        <w:tc>
          <w:tcPr>
            <w:tcW w:type="dxa" w:w="2880"/>
          </w:tcPr>
          <w:p>
            <w:r>
              <w:t>1600</w:t>
            </w:r>
          </w:p>
        </w:tc>
      </w:tr>
      <w:tr>
        <w:tc>
          <w:tcPr>
            <w:tcW w:type="dxa" w:w="2880"/>
          </w:tcPr>
          <w:p>
            <w:r>
              <w:t>5</w:t>
            </w:r>
          </w:p>
        </w:tc>
        <w:tc>
          <w:tcPr>
            <w:tcW w:type="dxa" w:w="2880"/>
          </w:tcPr>
          <w:p>
            <w:r>
              <w:t>800</w:t>
            </w:r>
          </w:p>
        </w:tc>
        <w:tc>
          <w:tcPr>
            <w:tcW w:type="dxa" w:w="2880"/>
          </w:tcPr>
          <w:p>
            <w:r>
              <w:t>4000</w:t>
            </w:r>
          </w:p>
        </w:tc>
      </w:tr>
    </w:tbl>
    <w:p/>
    <w:p>
      <w:r>
        <w:t>Total Principal = $1,550</w:t>
        <w:br/>
        <w:t>WAL = (1×50 + 2×100 + 3×200 + 4×400 + 5×800) / 1550 = 6450 / 1550 = 4.1613 months ≈ 0.3468 years</w:t>
      </w:r>
    </w:p>
    <w:p>
      <w:pPr>
        <w:pStyle w:val="Heading1"/>
      </w:pPr>
      <w:r>
        <w:rPr>
          <w:color w:val="1E3A8A"/>
        </w:rPr>
        <w:t>Section 2 – Recursion Analyzer Pool Prepayment History (0.5 pts)</w:t>
      </w:r>
    </w:p>
    <w:p>
      <w:pPr>
        <w:pStyle w:val="Heading2"/>
      </w:pPr>
      <w:r>
        <w:rPr>
          <w:color w:val="1D4ED8"/>
        </w:rPr>
        <w:t>Pool Overview</w:t>
      </w:r>
    </w:p>
    <w:p>
      <w:pPr/>
      <w:r>
        <w:t>CUSIP: 31418C5Z3  |  Pool: MA3563  |  Issuer: Fannie Mae (UMBS)</w:t>
        <w:br/>
        <w:t>Issue Date: December 2018  |  Coupon: 4.000%  |  Original UPB: $6.39 Billion</w:t>
        <w:br/>
        <w:t>Maturity: January 2049  |  Current UPB (Mar 2026): $425.9M  |  Remaining Factor: 0.0667</w:t>
      </w:r>
    </w:p>
    <w:p>
      <w:pPr>
        <w:pStyle w:val="Heading2"/>
      </w:pPr>
      <w:r>
        <w:rPr>
          <w:color w:val="1D4ED8"/>
        </w:rPr>
        <w:t>Historical Monthly CPR vs. 30-Year Primary Mortgage Rate</w:t>
      </w:r>
    </w:p>
    <w:p>
      <w:pPr/>
      <w:r>
        <w:t>Data source: Monthly security factors from Fannie Mae PoolTalk (public disclosure tool). CPR derived from sequential factor changes using: CPR = 1-(Factor_t/Factor_{t-1})^12. 30-year mortgage rate (PMMS) sourced from FRED (series: MORTGAGE30US).</w:t>
      </w:r>
    </w:p>
    <w:p>
      <w:pPr>
        <w:jc w:val="center"/>
      </w:pPr>
      <w:r>
        <w:drawing>
          <wp:inline xmlns:a="http://schemas.openxmlformats.org/drawingml/2006/main" xmlns:pic="http://schemas.openxmlformats.org/drawingml/2006/picture">
            <wp:extent cx="5943600" cy="2716987"/>
            <wp:docPr id="13" name="Picture 13"/>
            <wp:cNvGraphicFramePr>
              <a:graphicFrameLocks noChangeAspect="1"/>
            </wp:cNvGraphicFramePr>
            <a:graphic>
              <a:graphicData uri="http://schemas.openxmlformats.org/drawingml/2006/picture">
                <pic:pic>
                  <pic:nvPicPr>
                    <pic:cNvPr id="0" name="sec2_cusip_cpr_pmms.png"/>
                    <pic:cNvPicPr/>
                  </pic:nvPicPr>
                  <pic:blipFill>
                    <a:blip r:embed="rId21"/>
                    <a:stretch>
                      <a:fillRect/>
                    </a:stretch>
                  </pic:blipFill>
                  <pic:spPr>
                    <a:xfrm>
                      <a:off x="0" y="0"/>
                      <a:ext cx="5943600" cy="2716987"/>
                    </a:xfrm>
                    <a:prstGeom prst="rect"/>
                  </pic:spPr>
                </pic:pic>
              </a:graphicData>
            </a:graphic>
          </wp:inline>
        </w:drawing>
      </w:r>
    </w:p>
    <w:p>
      <w:pPr>
        <w:pStyle w:val="Heading2"/>
      </w:pPr>
      <w:r>
        <w:rPr>
          <w:color w:val="1D4ED8"/>
        </w:rPr>
        <w:t>Pattern Descriptions</w:t>
      </w:r>
    </w:p>
    <w:p>
      <w:pPr/>
      <w:r>
        <w:t>1) ISSUANCE (Dec 2018) TO MONTH 30 (May 2021):</w:t>
        <w:br/>
        <w:br/>
        <w:t>This pool exhibited rapid prepayment escalation from issuance, far exceeding the normal PSA ramp pattern. The pool was issued in Dec 2018 when the 30-yr mortgage rate was ~4.6%, just above the pool coupon of 4.0%, meaning borrowers had limited initial refinancing incentive. Early CPR was modest (~4-9%).</w:t>
        <w:br/>
        <w:br/>
        <w:t>However, rates began falling through 2019 as the Fed eased, and CPR accelerated sharply — reaching 30-50% CPR by mid-2019 as the PMMS dropped toward and then below 3.8%. The COVID-19 shock in early 2020 sent rates to historic lows (sub-3%), triggering a massive refinancing wave. By month 19 (July 2020), CPR peaked at 66.05% — one of the fastest prepayment speeds for this pool. Through month 30, the pool prepaid at extremely high speeds consistently (40-66% CPR range), burning through over 70% of its original balance.</w:t>
      </w:r>
    </w:p>
    <w:p>
      <w:pPr/>
      <w:r>
        <w:t>2) PEAK PREPAYMENT SPEED:</w:t>
        <w:br/>
        <w:br/>
        <w:t>Peak CPR: 66.05%  |  Month: July 2020  |  Pool Age: 19 months</w:t>
        <w:br/>
        <w:t>30-yr PMMS at peak: ~3.13% — approximately 87 bps below the pool coupon of 4.0%.</w:t>
        <w:br/>
        <w:br/>
        <w:t>This represents the most extreme refinancing wave. With market rates nearly 90 bps below the pool's WAC, virtually all borrowers in the pool had strong economic incentive to refinance. The pool's large original balance ($6.39B) also reflects thousands of loans — statistically, the mass refinancing translated directly into a near-record CPR. The peak period (mid-2020 through mid-2021) saw sustained CPR of 50-66%, accelerating the pool's amortization dramatically.</w:t>
      </w:r>
    </w:p>
    <w:p>
      <w:pPr/>
      <w:r>
        <w:t>3) LATEST PREPAYMENT SPEED (Most Recent Available: March 2026):</w:t>
        <w:br/>
        <w:br/>
        <w:t>Latest CPR: 8.74%  |  Date: March 2026  |  Pool Age: 87 months</w:t>
        <w:br/>
        <w:t>30-yr PMMS (Mar 2026): ~6.0% — approximately 200 bps ABOVE the pool coupon of 4.0%.</w:t>
        <w:br/>
        <w:br/>
        <w:t>Prepayment speeds have collapsed to single digits for a very logical reason: the current mortgage rate environment (~6%) is far above the pool's coupon (4.0%). Borrowers who remain in this pool already have a 4% mortgage — refinancing would mean taking on a new loan at ~6%, resulting in significantly higher monthly payments. This creates a 'lock-in effect' where rational borrowers have no incentive to prepay voluntarily.</w:t>
        <w:br/>
        <w:br/>
        <w:t>The remaining ~8.74% CPR reflects only involuntary prepayments: defaults, home sales (job changes, divorces, deaths), and curtailments. The pool has shrunk to just 6.67% of its original balance ($425.9M remaining of $6.39B original), meaning the vast majority of loans already prepaid during the 2019-2022 refinancing wave.</w:t>
      </w:r>
    </w:p>
    <w:p>
      <w:pPr>
        <w:pStyle w:val="Heading1"/>
      </w:pPr>
      <w:r>
        <w:rPr>
          <w:color w:val="1E3A8A"/>
        </w:rPr>
        <w:t>Section 3 – Agency MBS Pool-Level Analysis (1.5 pts)</w:t>
      </w:r>
    </w:p>
    <w:p>
      <w:r>
        <w:t>Data: 2,234 Agency MBS pools | Pool Data (issuance) + Pool Hist (monthly updates Jan 2023 – Apr 2025)</w:t>
      </w:r>
    </w:p>
    <w:p>
      <w:pPr>
        <w:pStyle w:val="Heading2"/>
      </w:pPr>
      <w:r>
        <w:rPr>
          <w:color w:val="1D4ED8"/>
        </w:rPr>
        <w:t>3_1: 2023 Monthly Issuance by Coupon</w:t>
      </w:r>
    </w:p>
    <w:p>
      <w:r>
        <w:t>Note: The dataset contains 2023 issuance data for 2,234 Agency MBS pools.</w:t>
      </w:r>
    </w:p>
    <w:p>
      <w:pPr>
        <w:jc w:val="center"/>
      </w:pPr>
      <w:r>
        <w:drawing>
          <wp:inline xmlns:a="http://schemas.openxmlformats.org/drawingml/2006/main" xmlns:pic="http://schemas.openxmlformats.org/drawingml/2006/picture">
            <wp:extent cx="5669280" cy="3226389"/>
            <wp:docPr id="2" name="Picture 2"/>
            <wp:cNvGraphicFramePr>
              <a:graphicFrameLocks noChangeAspect="1"/>
            </wp:cNvGraphicFramePr>
            <a:graphic>
              <a:graphicData uri="http://schemas.openxmlformats.org/drawingml/2006/picture">
                <pic:pic>
                  <pic:nvPicPr>
                    <pic:cNvPr id="0" name="q3_1_issuance.png"/>
                    <pic:cNvPicPr/>
                  </pic:nvPicPr>
                  <pic:blipFill>
                    <a:blip r:embed="rId10"/>
                    <a:stretch>
                      <a:fillRect/>
                    </a:stretch>
                  </pic:blipFill>
                  <pic:spPr>
                    <a:xfrm>
                      <a:off x="0" y="0"/>
                      <a:ext cx="5669280" cy="3226389"/>
                    </a:xfrm>
                    <a:prstGeom prst="rect"/>
                  </pic:spPr>
                </pic:pic>
              </a:graphicData>
            </a:graphic>
          </wp:inline>
        </w:drawing>
      </w:r>
    </w:p>
    <w:p>
      <w:r>
        <w:rPr>
          <w:b/>
        </w:rPr>
        <w:t>Table 3 – 2023 Monthly Issuance by Coupon ($M)</w:t>
      </w:r>
    </w:p>
    <w:tbl>
      <w:tblPr>
        <w:tblStyle w:val="LightShading-Accent1"/>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rPr>
              <w:t>Month</w:t>
            </w:r>
          </w:p>
        </w:tc>
        <w:tc>
          <w:tcPr>
            <w:tcW w:type="dxa" w:w="720"/>
          </w:tcPr>
          <w:p>
            <w:r>
              <w:rPr>
                <w:b/>
              </w:rPr>
              <w:t>3.0</w:t>
            </w:r>
          </w:p>
        </w:tc>
        <w:tc>
          <w:tcPr>
            <w:tcW w:type="dxa" w:w="720"/>
          </w:tcPr>
          <w:p>
            <w:r>
              <w:rPr>
                <w:b/>
              </w:rPr>
              <w:t>3.5</w:t>
            </w:r>
          </w:p>
        </w:tc>
        <w:tc>
          <w:tcPr>
            <w:tcW w:type="dxa" w:w="720"/>
          </w:tcPr>
          <w:p>
            <w:r>
              <w:rPr>
                <w:b/>
              </w:rPr>
              <w:t>4.0</w:t>
            </w:r>
          </w:p>
        </w:tc>
        <w:tc>
          <w:tcPr>
            <w:tcW w:type="dxa" w:w="720"/>
          </w:tcPr>
          <w:p>
            <w:r>
              <w:rPr>
                <w:b/>
              </w:rPr>
              <w:t>4.5</w:t>
            </w:r>
          </w:p>
        </w:tc>
        <w:tc>
          <w:tcPr>
            <w:tcW w:type="dxa" w:w="720"/>
          </w:tcPr>
          <w:p>
            <w:r>
              <w:rPr>
                <w:b/>
              </w:rPr>
              <w:t>5.0</w:t>
            </w:r>
          </w:p>
        </w:tc>
        <w:tc>
          <w:tcPr>
            <w:tcW w:type="dxa" w:w="720"/>
          </w:tcPr>
          <w:p>
            <w:r>
              <w:rPr>
                <w:b/>
              </w:rPr>
              <w:t>5.5</w:t>
            </w:r>
          </w:p>
        </w:tc>
        <w:tc>
          <w:tcPr>
            <w:tcW w:type="dxa" w:w="720"/>
          </w:tcPr>
          <w:p>
            <w:r>
              <w:rPr>
                <w:b/>
              </w:rPr>
              <w:t>6.0</w:t>
            </w:r>
          </w:p>
        </w:tc>
        <w:tc>
          <w:tcPr>
            <w:tcW w:type="dxa" w:w="720"/>
          </w:tcPr>
          <w:p>
            <w:r>
              <w:rPr>
                <w:b/>
              </w:rPr>
              <w:t>6.5</w:t>
            </w:r>
          </w:p>
        </w:tc>
        <w:tc>
          <w:tcPr>
            <w:tcW w:type="dxa" w:w="720"/>
          </w:tcPr>
          <w:p>
            <w:r>
              <w:rPr>
                <w:b/>
              </w:rPr>
              <w:t>7.0</w:t>
            </w:r>
          </w:p>
        </w:tc>
        <w:tc>
          <w:tcPr>
            <w:tcW w:type="dxa" w:w="720"/>
          </w:tcPr>
          <w:p>
            <w:r>
              <w:rPr>
                <w:b/>
              </w:rPr>
              <w:t>7.5</w:t>
            </w:r>
          </w:p>
        </w:tc>
        <w:tc>
          <w:tcPr>
            <w:tcW w:type="dxa" w:w="720"/>
          </w:tcPr>
          <w:p>
            <w:r>
              <w:rPr>
                <w:b/>
              </w:rPr>
              <w:t>Total</w:t>
            </w:r>
          </w:p>
        </w:tc>
      </w:tr>
      <w:tr>
        <w:tc>
          <w:tcPr>
            <w:tcW w:type="dxa" w:w="720"/>
          </w:tcPr>
          <w:p>
            <w:r>
              <w:t>2023-01</w:t>
            </w:r>
          </w:p>
        </w:tc>
        <w:tc>
          <w:tcPr>
            <w:tcW w:type="dxa" w:w="720"/>
          </w:tcPr>
          <w:p>
            <w:r>
              <w:t>36.2</w:t>
            </w:r>
          </w:p>
        </w:tc>
        <w:tc>
          <w:tcPr>
            <w:tcW w:type="dxa" w:w="720"/>
          </w:tcPr>
          <w:p>
            <w:r>
              <w:t>133.1</w:t>
            </w:r>
          </w:p>
        </w:tc>
        <w:tc>
          <w:tcPr>
            <w:tcW w:type="dxa" w:w="720"/>
          </w:tcPr>
          <w:p>
            <w:r>
              <w:t>641.7</w:t>
            </w:r>
          </w:p>
        </w:tc>
        <w:tc>
          <w:tcPr>
            <w:tcW w:type="dxa" w:w="720"/>
          </w:tcPr>
          <w:p>
            <w:r>
              <w:t>1585.9</w:t>
            </w:r>
          </w:p>
        </w:tc>
        <w:tc>
          <w:tcPr>
            <w:tcW w:type="dxa" w:w="720"/>
          </w:tcPr>
          <w:p>
            <w:r>
              <w:t>3491.0</w:t>
            </w:r>
          </w:p>
        </w:tc>
        <w:tc>
          <w:tcPr>
            <w:tcW w:type="dxa" w:w="720"/>
          </w:tcPr>
          <w:p>
            <w:r>
              <w:t>5178.6</w:t>
            </w:r>
          </w:p>
        </w:tc>
        <w:tc>
          <w:tcPr>
            <w:tcW w:type="dxa" w:w="720"/>
          </w:tcPr>
          <w:p>
            <w:r>
              <w:t>4477.0</w:t>
            </w:r>
          </w:p>
        </w:tc>
        <w:tc>
          <w:tcPr>
            <w:tcW w:type="dxa" w:w="720"/>
          </w:tcPr>
          <w:p>
            <w:r>
              <w:t>2151.2</w:t>
            </w:r>
          </w:p>
        </w:tc>
        <w:tc>
          <w:tcPr>
            <w:tcW w:type="dxa" w:w="720"/>
          </w:tcPr>
          <w:p>
            <w:r>
              <w:t>216.7</w:t>
            </w:r>
          </w:p>
        </w:tc>
        <w:tc>
          <w:tcPr>
            <w:tcW w:type="dxa" w:w="720"/>
          </w:tcPr>
          <w:p>
            <w:r>
              <w:t>0.0</w:t>
            </w:r>
          </w:p>
        </w:tc>
        <w:tc>
          <w:tcPr>
            <w:tcW w:type="dxa" w:w="720"/>
          </w:tcPr>
          <w:p>
            <w:r>
              <w:t>17911.4</w:t>
            </w:r>
          </w:p>
        </w:tc>
      </w:tr>
      <w:tr>
        <w:tc>
          <w:tcPr>
            <w:tcW w:type="dxa" w:w="720"/>
          </w:tcPr>
          <w:p>
            <w:r>
              <w:t>2023-02</w:t>
            </w:r>
          </w:p>
        </w:tc>
        <w:tc>
          <w:tcPr>
            <w:tcW w:type="dxa" w:w="720"/>
          </w:tcPr>
          <w:p>
            <w:r>
              <w:t>31.1</w:t>
            </w:r>
          </w:p>
        </w:tc>
        <w:tc>
          <w:tcPr>
            <w:tcW w:type="dxa" w:w="720"/>
          </w:tcPr>
          <w:p>
            <w:r>
              <w:t>95.1</w:t>
            </w:r>
          </w:p>
        </w:tc>
        <w:tc>
          <w:tcPr>
            <w:tcW w:type="dxa" w:w="720"/>
          </w:tcPr>
          <w:p>
            <w:r>
              <w:t>315.9</w:t>
            </w:r>
          </w:p>
        </w:tc>
        <w:tc>
          <w:tcPr>
            <w:tcW w:type="dxa" w:w="720"/>
          </w:tcPr>
          <w:p>
            <w:r>
              <w:t>962.9</w:t>
            </w:r>
          </w:p>
        </w:tc>
        <w:tc>
          <w:tcPr>
            <w:tcW w:type="dxa" w:w="720"/>
          </w:tcPr>
          <w:p>
            <w:r>
              <w:t>3707.8</w:t>
            </w:r>
          </w:p>
        </w:tc>
        <w:tc>
          <w:tcPr>
            <w:tcW w:type="dxa" w:w="720"/>
          </w:tcPr>
          <w:p>
            <w:r>
              <w:t>4579.2</w:t>
            </w:r>
          </w:p>
        </w:tc>
        <w:tc>
          <w:tcPr>
            <w:tcW w:type="dxa" w:w="720"/>
          </w:tcPr>
          <w:p>
            <w:r>
              <w:t>2547.1</w:t>
            </w:r>
          </w:p>
        </w:tc>
        <w:tc>
          <w:tcPr>
            <w:tcW w:type="dxa" w:w="720"/>
          </w:tcPr>
          <w:p>
            <w:r>
              <w:t>993.7</w:t>
            </w:r>
          </w:p>
        </w:tc>
        <w:tc>
          <w:tcPr>
            <w:tcW w:type="dxa" w:w="720"/>
          </w:tcPr>
          <w:p>
            <w:r>
              <w:t>82.2</w:t>
            </w:r>
          </w:p>
        </w:tc>
        <w:tc>
          <w:tcPr>
            <w:tcW w:type="dxa" w:w="720"/>
          </w:tcPr>
          <w:p>
            <w:r>
              <w:t>0.0</w:t>
            </w:r>
          </w:p>
        </w:tc>
        <w:tc>
          <w:tcPr>
            <w:tcW w:type="dxa" w:w="720"/>
          </w:tcPr>
          <w:p>
            <w:r>
              <w:t>13315.0</w:t>
            </w:r>
          </w:p>
        </w:tc>
      </w:tr>
      <w:tr>
        <w:tc>
          <w:tcPr>
            <w:tcW w:type="dxa" w:w="720"/>
          </w:tcPr>
          <w:p>
            <w:r>
              <w:t>2023-03</w:t>
            </w:r>
          </w:p>
        </w:tc>
        <w:tc>
          <w:tcPr>
            <w:tcW w:type="dxa" w:w="720"/>
          </w:tcPr>
          <w:p>
            <w:r>
              <w:t>43.0</w:t>
            </w:r>
          </w:p>
        </w:tc>
        <w:tc>
          <w:tcPr>
            <w:tcW w:type="dxa" w:w="720"/>
          </w:tcPr>
          <w:p>
            <w:r>
              <w:t>67.3</w:t>
            </w:r>
          </w:p>
        </w:tc>
        <w:tc>
          <w:tcPr>
            <w:tcW w:type="dxa" w:w="720"/>
          </w:tcPr>
          <w:p>
            <w:r>
              <w:t>471.4</w:t>
            </w:r>
          </w:p>
        </w:tc>
        <w:tc>
          <w:tcPr>
            <w:tcW w:type="dxa" w:w="720"/>
          </w:tcPr>
          <w:p>
            <w:r>
              <w:t>1690.1</w:t>
            </w:r>
          </w:p>
        </w:tc>
        <w:tc>
          <w:tcPr>
            <w:tcW w:type="dxa" w:w="720"/>
          </w:tcPr>
          <w:p>
            <w:r>
              <w:t>6430.1</w:t>
            </w:r>
          </w:p>
        </w:tc>
        <w:tc>
          <w:tcPr>
            <w:tcW w:type="dxa" w:w="720"/>
          </w:tcPr>
          <w:p>
            <w:r>
              <w:t>5188.6</w:t>
            </w:r>
          </w:p>
        </w:tc>
        <w:tc>
          <w:tcPr>
            <w:tcW w:type="dxa" w:w="720"/>
          </w:tcPr>
          <w:p>
            <w:r>
              <w:t>1943.3</w:t>
            </w:r>
          </w:p>
        </w:tc>
        <w:tc>
          <w:tcPr>
            <w:tcW w:type="dxa" w:w="720"/>
          </w:tcPr>
          <w:p>
            <w:r>
              <w:t>689.0</w:t>
            </w:r>
          </w:p>
        </w:tc>
        <w:tc>
          <w:tcPr>
            <w:tcW w:type="dxa" w:w="720"/>
          </w:tcPr>
          <w:p>
            <w:r>
              <w:t>17.0</w:t>
            </w:r>
          </w:p>
        </w:tc>
        <w:tc>
          <w:tcPr>
            <w:tcW w:type="dxa" w:w="720"/>
          </w:tcPr>
          <w:p>
            <w:r>
              <w:t>0.0</w:t>
            </w:r>
          </w:p>
        </w:tc>
        <w:tc>
          <w:tcPr>
            <w:tcW w:type="dxa" w:w="720"/>
          </w:tcPr>
          <w:p>
            <w:r>
              <w:t>16539.8</w:t>
            </w:r>
          </w:p>
        </w:tc>
      </w:tr>
      <w:tr>
        <w:tc>
          <w:tcPr>
            <w:tcW w:type="dxa" w:w="720"/>
          </w:tcPr>
          <w:p>
            <w:r>
              <w:t>2023-04</w:t>
            </w:r>
          </w:p>
        </w:tc>
        <w:tc>
          <w:tcPr>
            <w:tcW w:type="dxa" w:w="720"/>
          </w:tcPr>
          <w:p>
            <w:r>
              <w:t>56.6</w:t>
            </w:r>
          </w:p>
        </w:tc>
        <w:tc>
          <w:tcPr>
            <w:tcW w:type="dxa" w:w="720"/>
          </w:tcPr>
          <w:p>
            <w:r>
              <w:t>176.6</w:t>
            </w:r>
          </w:p>
        </w:tc>
        <w:tc>
          <w:tcPr>
            <w:tcW w:type="dxa" w:w="720"/>
          </w:tcPr>
          <w:p>
            <w:r>
              <w:t>1217.1</w:t>
            </w:r>
          </w:p>
        </w:tc>
        <w:tc>
          <w:tcPr>
            <w:tcW w:type="dxa" w:w="720"/>
          </w:tcPr>
          <w:p>
            <w:r>
              <w:t>1374.7</w:t>
            </w:r>
          </w:p>
        </w:tc>
        <w:tc>
          <w:tcPr>
            <w:tcW w:type="dxa" w:w="720"/>
          </w:tcPr>
          <w:p>
            <w:r>
              <w:t>5439.5</w:t>
            </w:r>
          </w:p>
        </w:tc>
        <w:tc>
          <w:tcPr>
            <w:tcW w:type="dxa" w:w="720"/>
          </w:tcPr>
          <w:p>
            <w:r>
              <w:t>5412.4</w:t>
            </w:r>
          </w:p>
        </w:tc>
        <w:tc>
          <w:tcPr>
            <w:tcW w:type="dxa" w:w="720"/>
          </w:tcPr>
          <w:p>
            <w:r>
              <w:t>3759.6</w:t>
            </w:r>
          </w:p>
        </w:tc>
        <w:tc>
          <w:tcPr>
            <w:tcW w:type="dxa" w:w="720"/>
          </w:tcPr>
          <w:p>
            <w:r>
              <w:t>1401.5</w:t>
            </w:r>
          </w:p>
        </w:tc>
        <w:tc>
          <w:tcPr>
            <w:tcW w:type="dxa" w:w="720"/>
          </w:tcPr>
          <w:p>
            <w:r>
              <w:t>39.6</w:t>
            </w:r>
          </w:p>
        </w:tc>
        <w:tc>
          <w:tcPr>
            <w:tcW w:type="dxa" w:w="720"/>
          </w:tcPr>
          <w:p>
            <w:r>
              <w:t>0.0</w:t>
            </w:r>
          </w:p>
        </w:tc>
        <w:tc>
          <w:tcPr>
            <w:tcW w:type="dxa" w:w="720"/>
          </w:tcPr>
          <w:p>
            <w:r>
              <w:t>18877.6</w:t>
            </w:r>
          </w:p>
        </w:tc>
      </w:tr>
      <w:tr>
        <w:tc>
          <w:tcPr>
            <w:tcW w:type="dxa" w:w="720"/>
          </w:tcPr>
          <w:p>
            <w:r>
              <w:t>2023-05</w:t>
            </w:r>
          </w:p>
        </w:tc>
        <w:tc>
          <w:tcPr>
            <w:tcW w:type="dxa" w:w="720"/>
          </w:tcPr>
          <w:p>
            <w:r>
              <w:t>48.5</w:t>
            </w:r>
          </w:p>
        </w:tc>
        <w:tc>
          <w:tcPr>
            <w:tcW w:type="dxa" w:w="720"/>
          </w:tcPr>
          <w:p>
            <w:r>
              <w:t>47.5</w:t>
            </w:r>
          </w:p>
        </w:tc>
        <w:tc>
          <w:tcPr>
            <w:tcW w:type="dxa" w:w="720"/>
          </w:tcPr>
          <w:p>
            <w:r>
              <w:t>509.9</w:t>
            </w:r>
          </w:p>
        </w:tc>
        <w:tc>
          <w:tcPr>
            <w:tcW w:type="dxa" w:w="720"/>
          </w:tcPr>
          <w:p>
            <w:r>
              <w:t>1753.4</w:t>
            </w:r>
          </w:p>
        </w:tc>
        <w:tc>
          <w:tcPr>
            <w:tcW w:type="dxa" w:w="720"/>
          </w:tcPr>
          <w:p>
            <w:r>
              <w:t>6861.0</w:t>
            </w:r>
          </w:p>
        </w:tc>
        <w:tc>
          <w:tcPr>
            <w:tcW w:type="dxa" w:w="720"/>
          </w:tcPr>
          <w:p>
            <w:r>
              <w:t>6796.7</w:t>
            </w:r>
          </w:p>
        </w:tc>
        <w:tc>
          <w:tcPr>
            <w:tcW w:type="dxa" w:w="720"/>
          </w:tcPr>
          <w:p>
            <w:r>
              <w:t>3675.2</w:t>
            </w:r>
          </w:p>
        </w:tc>
        <w:tc>
          <w:tcPr>
            <w:tcW w:type="dxa" w:w="720"/>
          </w:tcPr>
          <w:p>
            <w:r>
              <w:t>2707.1</w:t>
            </w:r>
          </w:p>
        </w:tc>
        <w:tc>
          <w:tcPr>
            <w:tcW w:type="dxa" w:w="720"/>
          </w:tcPr>
          <w:p>
            <w:r>
              <w:t>74.7</w:t>
            </w:r>
          </w:p>
        </w:tc>
        <w:tc>
          <w:tcPr>
            <w:tcW w:type="dxa" w:w="720"/>
          </w:tcPr>
          <w:p>
            <w:r>
              <w:t>0.0</w:t>
            </w:r>
          </w:p>
        </w:tc>
        <w:tc>
          <w:tcPr>
            <w:tcW w:type="dxa" w:w="720"/>
          </w:tcPr>
          <w:p>
            <w:r>
              <w:t>22474.0</w:t>
            </w:r>
          </w:p>
        </w:tc>
      </w:tr>
      <w:tr>
        <w:tc>
          <w:tcPr>
            <w:tcW w:type="dxa" w:w="720"/>
          </w:tcPr>
          <w:p>
            <w:r>
              <w:t>2023-06</w:t>
            </w:r>
          </w:p>
        </w:tc>
        <w:tc>
          <w:tcPr>
            <w:tcW w:type="dxa" w:w="720"/>
          </w:tcPr>
          <w:p>
            <w:r>
              <w:t>128.1</w:t>
            </w:r>
          </w:p>
        </w:tc>
        <w:tc>
          <w:tcPr>
            <w:tcW w:type="dxa" w:w="720"/>
          </w:tcPr>
          <w:p>
            <w:r>
              <w:t>23.8</w:t>
            </w:r>
          </w:p>
        </w:tc>
        <w:tc>
          <w:tcPr>
            <w:tcW w:type="dxa" w:w="720"/>
          </w:tcPr>
          <w:p>
            <w:r>
              <w:t>592.2</w:t>
            </w:r>
          </w:p>
        </w:tc>
        <w:tc>
          <w:tcPr>
            <w:tcW w:type="dxa" w:w="720"/>
          </w:tcPr>
          <w:p>
            <w:r>
              <w:t>2354.7</w:t>
            </w:r>
          </w:p>
        </w:tc>
        <w:tc>
          <w:tcPr>
            <w:tcW w:type="dxa" w:w="720"/>
          </w:tcPr>
          <w:p>
            <w:r>
              <w:t>8506.7</w:t>
            </w:r>
          </w:p>
        </w:tc>
        <w:tc>
          <w:tcPr>
            <w:tcW w:type="dxa" w:w="720"/>
          </w:tcPr>
          <w:p>
            <w:r>
              <w:t>9078.6</w:t>
            </w:r>
          </w:p>
        </w:tc>
        <w:tc>
          <w:tcPr>
            <w:tcW w:type="dxa" w:w="720"/>
          </w:tcPr>
          <w:p>
            <w:r>
              <w:t>3596.3</w:t>
            </w:r>
          </w:p>
        </w:tc>
        <w:tc>
          <w:tcPr>
            <w:tcW w:type="dxa" w:w="720"/>
          </w:tcPr>
          <w:p>
            <w:r>
              <w:t>2042.8</w:t>
            </w:r>
          </w:p>
        </w:tc>
        <w:tc>
          <w:tcPr>
            <w:tcW w:type="dxa" w:w="720"/>
          </w:tcPr>
          <w:p>
            <w:r>
              <w:t>114.7</w:t>
            </w:r>
          </w:p>
        </w:tc>
        <w:tc>
          <w:tcPr>
            <w:tcW w:type="dxa" w:w="720"/>
          </w:tcPr>
          <w:p>
            <w:r>
              <w:t>0.0</w:t>
            </w:r>
          </w:p>
        </w:tc>
        <w:tc>
          <w:tcPr>
            <w:tcW w:type="dxa" w:w="720"/>
          </w:tcPr>
          <w:p>
            <w:r>
              <w:t>26437.9</w:t>
            </w:r>
          </w:p>
        </w:tc>
      </w:tr>
      <w:tr>
        <w:tc>
          <w:tcPr>
            <w:tcW w:type="dxa" w:w="720"/>
          </w:tcPr>
          <w:p>
            <w:r>
              <w:t>2023-07</w:t>
            </w:r>
          </w:p>
        </w:tc>
        <w:tc>
          <w:tcPr>
            <w:tcW w:type="dxa" w:w="720"/>
          </w:tcPr>
          <w:p>
            <w:r>
              <w:t>31.7</w:t>
            </w:r>
          </w:p>
        </w:tc>
        <w:tc>
          <w:tcPr>
            <w:tcW w:type="dxa" w:w="720"/>
          </w:tcPr>
          <w:p>
            <w:r>
              <w:t>109.8</w:t>
            </w:r>
          </w:p>
        </w:tc>
        <w:tc>
          <w:tcPr>
            <w:tcW w:type="dxa" w:w="720"/>
          </w:tcPr>
          <w:p>
            <w:r>
              <w:t>478.1</w:t>
            </w:r>
          </w:p>
        </w:tc>
        <w:tc>
          <w:tcPr>
            <w:tcW w:type="dxa" w:w="720"/>
          </w:tcPr>
          <w:p>
            <w:r>
              <w:t>1430.1</w:t>
            </w:r>
          </w:p>
        </w:tc>
        <w:tc>
          <w:tcPr>
            <w:tcW w:type="dxa" w:w="720"/>
          </w:tcPr>
          <w:p>
            <w:r>
              <w:t>5844.0</w:t>
            </w:r>
          </w:p>
        </w:tc>
        <w:tc>
          <w:tcPr>
            <w:tcW w:type="dxa" w:w="720"/>
          </w:tcPr>
          <w:p>
            <w:r>
              <w:t>8004.6</w:t>
            </w:r>
          </w:p>
        </w:tc>
        <w:tc>
          <w:tcPr>
            <w:tcW w:type="dxa" w:w="720"/>
          </w:tcPr>
          <w:p>
            <w:r>
              <w:t>5412.5</w:t>
            </w:r>
          </w:p>
        </w:tc>
        <w:tc>
          <w:tcPr>
            <w:tcW w:type="dxa" w:w="720"/>
          </w:tcPr>
          <w:p>
            <w:r>
              <w:t>3236.9</w:t>
            </w:r>
          </w:p>
        </w:tc>
        <w:tc>
          <w:tcPr>
            <w:tcW w:type="dxa" w:w="720"/>
          </w:tcPr>
          <w:p>
            <w:r>
              <w:t>127.0</w:t>
            </w:r>
          </w:p>
        </w:tc>
        <w:tc>
          <w:tcPr>
            <w:tcW w:type="dxa" w:w="720"/>
          </w:tcPr>
          <w:p>
            <w:r>
              <w:t>0.0</w:t>
            </w:r>
          </w:p>
        </w:tc>
        <w:tc>
          <w:tcPr>
            <w:tcW w:type="dxa" w:w="720"/>
          </w:tcPr>
          <w:p>
            <w:r>
              <w:t>24674.7</w:t>
            </w:r>
          </w:p>
        </w:tc>
      </w:tr>
      <w:tr>
        <w:tc>
          <w:tcPr>
            <w:tcW w:type="dxa" w:w="720"/>
          </w:tcPr>
          <w:p>
            <w:r>
              <w:t>2023-08</w:t>
            </w:r>
          </w:p>
        </w:tc>
        <w:tc>
          <w:tcPr>
            <w:tcW w:type="dxa" w:w="720"/>
          </w:tcPr>
          <w:p>
            <w:r>
              <w:t>13.7</w:t>
            </w:r>
          </w:p>
        </w:tc>
        <w:tc>
          <w:tcPr>
            <w:tcW w:type="dxa" w:w="720"/>
          </w:tcPr>
          <w:p>
            <w:r>
              <w:t>0.0</w:t>
            </w:r>
          </w:p>
        </w:tc>
        <w:tc>
          <w:tcPr>
            <w:tcW w:type="dxa" w:w="720"/>
          </w:tcPr>
          <w:p>
            <w:r>
              <w:t>386.0</w:t>
            </w:r>
          </w:p>
        </w:tc>
        <w:tc>
          <w:tcPr>
            <w:tcW w:type="dxa" w:w="720"/>
          </w:tcPr>
          <w:p>
            <w:r>
              <w:t>781.8</w:t>
            </w:r>
          </w:p>
        </w:tc>
        <w:tc>
          <w:tcPr>
            <w:tcW w:type="dxa" w:w="720"/>
          </w:tcPr>
          <w:p>
            <w:r>
              <w:t>2624.5</w:t>
            </w:r>
          </w:p>
        </w:tc>
        <w:tc>
          <w:tcPr>
            <w:tcW w:type="dxa" w:w="720"/>
          </w:tcPr>
          <w:p>
            <w:r>
              <w:t>6007.9</w:t>
            </w:r>
          </w:p>
        </w:tc>
        <w:tc>
          <w:tcPr>
            <w:tcW w:type="dxa" w:w="720"/>
          </w:tcPr>
          <w:p>
            <w:r>
              <w:t>5685.1</w:t>
            </w:r>
          </w:p>
        </w:tc>
        <w:tc>
          <w:tcPr>
            <w:tcW w:type="dxa" w:w="720"/>
          </w:tcPr>
          <w:p>
            <w:r>
              <w:t>5327.1</w:t>
            </w:r>
          </w:p>
        </w:tc>
        <w:tc>
          <w:tcPr>
            <w:tcW w:type="dxa" w:w="720"/>
          </w:tcPr>
          <w:p>
            <w:r>
              <w:t>337.0</w:t>
            </w:r>
          </w:p>
        </w:tc>
        <w:tc>
          <w:tcPr>
            <w:tcW w:type="dxa" w:w="720"/>
          </w:tcPr>
          <w:p>
            <w:r>
              <w:t>0.0</w:t>
            </w:r>
          </w:p>
        </w:tc>
        <w:tc>
          <w:tcPr>
            <w:tcW w:type="dxa" w:w="720"/>
          </w:tcPr>
          <w:p>
            <w:r>
              <w:t>21163.1</w:t>
            </w:r>
          </w:p>
        </w:tc>
      </w:tr>
      <w:tr>
        <w:tc>
          <w:tcPr>
            <w:tcW w:type="dxa" w:w="720"/>
          </w:tcPr>
          <w:p>
            <w:r>
              <w:t>2023-09</w:t>
            </w:r>
          </w:p>
        </w:tc>
        <w:tc>
          <w:tcPr>
            <w:tcW w:type="dxa" w:w="720"/>
          </w:tcPr>
          <w:p>
            <w:r>
              <w:t>0.0</w:t>
            </w:r>
          </w:p>
        </w:tc>
        <w:tc>
          <w:tcPr>
            <w:tcW w:type="dxa" w:w="720"/>
          </w:tcPr>
          <w:p>
            <w:r>
              <w:t>17.3</w:t>
            </w:r>
          </w:p>
        </w:tc>
        <w:tc>
          <w:tcPr>
            <w:tcW w:type="dxa" w:w="720"/>
          </w:tcPr>
          <w:p>
            <w:r>
              <w:t>334.3</w:t>
            </w:r>
          </w:p>
        </w:tc>
        <w:tc>
          <w:tcPr>
            <w:tcW w:type="dxa" w:w="720"/>
          </w:tcPr>
          <w:p>
            <w:r>
              <w:t>562.4</w:t>
            </w:r>
          </w:p>
        </w:tc>
        <w:tc>
          <w:tcPr>
            <w:tcW w:type="dxa" w:w="720"/>
          </w:tcPr>
          <w:p>
            <w:r>
              <w:t>1754.4</w:t>
            </w:r>
          </w:p>
        </w:tc>
        <w:tc>
          <w:tcPr>
            <w:tcW w:type="dxa" w:w="720"/>
          </w:tcPr>
          <w:p>
            <w:r>
              <w:t>5905.5</w:t>
            </w:r>
          </w:p>
        </w:tc>
        <w:tc>
          <w:tcPr>
            <w:tcW w:type="dxa" w:w="720"/>
          </w:tcPr>
          <w:p>
            <w:r>
              <w:t>7556.3</w:t>
            </w:r>
          </w:p>
        </w:tc>
        <w:tc>
          <w:tcPr>
            <w:tcW w:type="dxa" w:w="720"/>
          </w:tcPr>
          <w:p>
            <w:r>
              <w:t>4499.0</w:t>
            </w:r>
          </w:p>
        </w:tc>
        <w:tc>
          <w:tcPr>
            <w:tcW w:type="dxa" w:w="720"/>
          </w:tcPr>
          <w:p>
            <w:r>
              <w:t>884.1</w:t>
            </w:r>
          </w:p>
        </w:tc>
        <w:tc>
          <w:tcPr>
            <w:tcW w:type="dxa" w:w="720"/>
          </w:tcPr>
          <w:p>
            <w:r>
              <w:t>29.8</w:t>
            </w:r>
          </w:p>
        </w:tc>
        <w:tc>
          <w:tcPr>
            <w:tcW w:type="dxa" w:w="720"/>
          </w:tcPr>
          <w:p>
            <w:r>
              <w:t>21543.099999999995</w:t>
            </w:r>
          </w:p>
        </w:tc>
      </w:tr>
      <w:tr>
        <w:tc>
          <w:tcPr>
            <w:tcW w:type="dxa" w:w="720"/>
          </w:tcPr>
          <w:p>
            <w:r>
              <w:t>2023-10</w:t>
            </w:r>
          </w:p>
        </w:tc>
        <w:tc>
          <w:tcPr>
            <w:tcW w:type="dxa" w:w="720"/>
          </w:tcPr>
          <w:p>
            <w:r>
              <w:t>0.0</w:t>
            </w:r>
          </w:p>
        </w:tc>
        <w:tc>
          <w:tcPr>
            <w:tcW w:type="dxa" w:w="720"/>
          </w:tcPr>
          <w:p>
            <w:r>
              <w:t>0.0</w:t>
            </w:r>
          </w:p>
        </w:tc>
        <w:tc>
          <w:tcPr>
            <w:tcW w:type="dxa" w:w="720"/>
          </w:tcPr>
          <w:p>
            <w:r>
              <w:t>177.3</w:t>
            </w:r>
          </w:p>
        </w:tc>
        <w:tc>
          <w:tcPr>
            <w:tcW w:type="dxa" w:w="720"/>
          </w:tcPr>
          <w:p>
            <w:r>
              <w:t>530.2</w:t>
            </w:r>
          </w:p>
        </w:tc>
        <w:tc>
          <w:tcPr>
            <w:tcW w:type="dxa" w:w="720"/>
          </w:tcPr>
          <w:p>
            <w:r>
              <w:t>979.3</w:t>
            </w:r>
          </w:p>
        </w:tc>
        <w:tc>
          <w:tcPr>
            <w:tcW w:type="dxa" w:w="720"/>
          </w:tcPr>
          <w:p>
            <w:r>
              <w:t>3260.5</w:t>
            </w:r>
          </w:p>
        </w:tc>
        <w:tc>
          <w:tcPr>
            <w:tcW w:type="dxa" w:w="720"/>
          </w:tcPr>
          <w:p>
            <w:r>
              <w:t>8015.2</w:t>
            </w:r>
          </w:p>
        </w:tc>
        <w:tc>
          <w:tcPr>
            <w:tcW w:type="dxa" w:w="720"/>
          </w:tcPr>
          <w:p>
            <w:r>
              <w:t>6868.7</w:t>
            </w:r>
          </w:p>
        </w:tc>
        <w:tc>
          <w:tcPr>
            <w:tcW w:type="dxa" w:w="720"/>
          </w:tcPr>
          <w:p>
            <w:r>
              <w:t>2197.5</w:t>
            </w:r>
          </w:p>
        </w:tc>
        <w:tc>
          <w:tcPr>
            <w:tcW w:type="dxa" w:w="720"/>
          </w:tcPr>
          <w:p>
            <w:r>
              <w:t>96.9</w:t>
            </w:r>
          </w:p>
        </w:tc>
        <w:tc>
          <w:tcPr>
            <w:tcW w:type="dxa" w:w="720"/>
          </w:tcPr>
          <w:p>
            <w:r>
              <w:t>22125.600000000002</w:t>
            </w:r>
          </w:p>
        </w:tc>
      </w:tr>
      <w:tr>
        <w:tc>
          <w:tcPr>
            <w:tcW w:type="dxa" w:w="720"/>
          </w:tcPr>
          <w:p>
            <w:r>
              <w:t>2023-11</w:t>
            </w:r>
          </w:p>
        </w:tc>
        <w:tc>
          <w:tcPr>
            <w:tcW w:type="dxa" w:w="720"/>
          </w:tcPr>
          <w:p>
            <w:r>
              <w:t>0.0</w:t>
            </w:r>
          </w:p>
        </w:tc>
        <w:tc>
          <w:tcPr>
            <w:tcW w:type="dxa" w:w="720"/>
          </w:tcPr>
          <w:p>
            <w:r>
              <w:t>33.9</w:t>
            </w:r>
          </w:p>
        </w:tc>
        <w:tc>
          <w:tcPr>
            <w:tcW w:type="dxa" w:w="720"/>
          </w:tcPr>
          <w:p>
            <w:r>
              <w:t>89.6</w:t>
            </w:r>
          </w:p>
        </w:tc>
        <w:tc>
          <w:tcPr>
            <w:tcW w:type="dxa" w:w="720"/>
          </w:tcPr>
          <w:p>
            <w:r>
              <w:t>153.0</w:t>
            </w:r>
          </w:p>
        </w:tc>
        <w:tc>
          <w:tcPr>
            <w:tcW w:type="dxa" w:w="720"/>
          </w:tcPr>
          <w:p>
            <w:r>
              <w:t>700.8</w:t>
            </w:r>
          </w:p>
        </w:tc>
        <w:tc>
          <w:tcPr>
            <w:tcW w:type="dxa" w:w="720"/>
          </w:tcPr>
          <w:p>
            <w:r>
              <w:t>1637.3</w:t>
            </w:r>
          </w:p>
        </w:tc>
        <w:tc>
          <w:tcPr>
            <w:tcW w:type="dxa" w:w="720"/>
          </w:tcPr>
          <w:p>
            <w:r>
              <w:t>5604.1</w:t>
            </w:r>
          </w:p>
        </w:tc>
        <w:tc>
          <w:tcPr>
            <w:tcW w:type="dxa" w:w="720"/>
          </w:tcPr>
          <w:p>
            <w:r>
              <w:t>6641.6</w:t>
            </w:r>
          </w:p>
        </w:tc>
        <w:tc>
          <w:tcPr>
            <w:tcW w:type="dxa" w:w="720"/>
          </w:tcPr>
          <w:p>
            <w:r>
              <w:t>3192.5</w:t>
            </w:r>
          </w:p>
        </w:tc>
        <w:tc>
          <w:tcPr>
            <w:tcW w:type="dxa" w:w="720"/>
          </w:tcPr>
          <w:p>
            <w:r>
              <w:t>419.7</w:t>
            </w:r>
          </w:p>
        </w:tc>
        <w:tc>
          <w:tcPr>
            <w:tcW w:type="dxa" w:w="720"/>
          </w:tcPr>
          <w:p>
            <w:r>
              <w:t>18472.500000000004</w:t>
            </w:r>
          </w:p>
        </w:tc>
      </w:tr>
      <w:tr>
        <w:tc>
          <w:tcPr>
            <w:tcW w:type="dxa" w:w="720"/>
          </w:tcPr>
          <w:p>
            <w:r>
              <w:t>2023-12</w:t>
            </w:r>
          </w:p>
        </w:tc>
        <w:tc>
          <w:tcPr>
            <w:tcW w:type="dxa" w:w="720"/>
          </w:tcPr>
          <w:p>
            <w:r>
              <w:t>0.0</w:t>
            </w:r>
          </w:p>
        </w:tc>
        <w:tc>
          <w:tcPr>
            <w:tcW w:type="dxa" w:w="720"/>
          </w:tcPr>
          <w:p>
            <w:r>
              <w:t>31.5</w:t>
            </w:r>
          </w:p>
        </w:tc>
        <w:tc>
          <w:tcPr>
            <w:tcW w:type="dxa" w:w="720"/>
          </w:tcPr>
          <w:p>
            <w:r>
              <w:t>217.5</w:t>
            </w:r>
          </w:p>
        </w:tc>
        <w:tc>
          <w:tcPr>
            <w:tcW w:type="dxa" w:w="720"/>
          </w:tcPr>
          <w:p>
            <w:r>
              <w:t>238.1</w:t>
            </w:r>
          </w:p>
        </w:tc>
        <w:tc>
          <w:tcPr>
            <w:tcW w:type="dxa" w:w="720"/>
          </w:tcPr>
          <w:p>
            <w:r>
              <w:t>701.4</w:t>
            </w:r>
          </w:p>
        </w:tc>
        <w:tc>
          <w:tcPr>
            <w:tcW w:type="dxa" w:w="720"/>
          </w:tcPr>
          <w:p>
            <w:r>
              <w:t>1382.4</w:t>
            </w:r>
          </w:p>
        </w:tc>
        <w:tc>
          <w:tcPr>
            <w:tcW w:type="dxa" w:w="720"/>
          </w:tcPr>
          <w:p>
            <w:r>
              <w:t>2668.3</w:t>
            </w:r>
          </w:p>
        </w:tc>
        <w:tc>
          <w:tcPr>
            <w:tcW w:type="dxa" w:w="720"/>
          </w:tcPr>
          <w:p>
            <w:r>
              <w:t>5679.8</w:t>
            </w:r>
          </w:p>
        </w:tc>
        <w:tc>
          <w:tcPr>
            <w:tcW w:type="dxa" w:w="720"/>
          </w:tcPr>
          <w:p>
            <w:r>
              <w:t>3913.0</w:t>
            </w:r>
          </w:p>
        </w:tc>
        <w:tc>
          <w:tcPr>
            <w:tcW w:type="dxa" w:w="720"/>
          </w:tcPr>
          <w:p>
            <w:r>
              <w:t>1070.3</w:t>
            </w:r>
          </w:p>
        </w:tc>
        <w:tc>
          <w:tcPr>
            <w:tcW w:type="dxa" w:w="720"/>
          </w:tcPr>
          <w:p>
            <w:r>
              <w:t>15902.300000000001</w:t>
            </w:r>
          </w:p>
        </w:tc>
      </w:tr>
    </w:tbl>
    <w:p/>
    <w:p>
      <w:r>
        <w:t>Trend Analysis:</w:t>
        <w:br/>
        <w:t>2023 Agency MBS issuance was dominated by coupon 5.5% pools, reflecting the prevailing mortgage rate environment where new loan originations clustered at these coupon levels. Issuance peaked in 2023-06 with $26,438M in total balance. The monthly pattern shows seasonal tendencies typical of the housing market, with stronger issuance in spring/summer months and softening later in the year. Higher coupon pools (6.5% and above) gained share as mortgage rates climbed to multi-decade highs, while lower coupon originations barely appeared as those rates were no longer available to new borrowers.</w:t>
      </w:r>
    </w:p>
    <w:p>
      <w:pPr>
        <w:pStyle w:val="Heading2"/>
      </w:pPr>
      <w:r>
        <w:rPr>
          <w:color w:val="1D4ED8"/>
        </w:rPr>
        <w:t>3_2: Pool Statistics by Coupon as of 2025-04-01</w:t>
      </w:r>
    </w:p>
    <w:p>
      <w:r>
        <w:rPr>
          <w:b/>
        </w:rPr>
        <w:t>Table 4 – Statistics by Coupon as of 2025-04-01 (balance-weighted averages)</w:t>
      </w:r>
    </w:p>
    <w:tbl>
      <w:tblPr>
        <w:tblStyle w:val="LightShading-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Coupon</w:t>
            </w:r>
          </w:p>
        </w:tc>
        <w:tc>
          <w:tcPr>
            <w:tcW w:type="dxa" w:w="1080"/>
          </w:tcPr>
          <w:p>
            <w:r>
              <w:rPr>
                <w:b/>
              </w:rPr>
              <w:t>Total Balance ($M)</w:t>
            </w:r>
          </w:p>
        </w:tc>
        <w:tc>
          <w:tcPr>
            <w:tcW w:type="dxa" w:w="1080"/>
          </w:tcPr>
          <w:p>
            <w:r>
              <w:rPr>
                <w:b/>
              </w:rPr>
              <w:t>Loan Count</w:t>
            </w:r>
          </w:p>
        </w:tc>
        <w:tc>
          <w:tcPr>
            <w:tcW w:type="dxa" w:w="1080"/>
          </w:tcPr>
          <w:p>
            <w:r>
              <w:rPr>
                <w:b/>
              </w:rPr>
              <w:t>WA WAC (%)</w:t>
            </w:r>
          </w:p>
        </w:tc>
        <w:tc>
          <w:tcPr>
            <w:tcW w:type="dxa" w:w="1080"/>
          </w:tcPr>
          <w:p>
            <w:r>
              <w:rPr>
                <w:b/>
              </w:rPr>
              <w:t>WA WALA (mo)</w:t>
            </w:r>
          </w:p>
        </w:tc>
        <w:tc>
          <w:tcPr>
            <w:tcW w:type="dxa" w:w="1080"/>
          </w:tcPr>
          <w:p>
            <w:r>
              <w:rPr>
                <w:b/>
              </w:rPr>
              <w:t>WA WAM (mo)</w:t>
            </w:r>
          </w:p>
        </w:tc>
        <w:tc>
          <w:tcPr>
            <w:tcW w:type="dxa" w:w="1080"/>
          </w:tcPr>
          <w:p>
            <w:r>
              <w:rPr>
                <w:b/>
              </w:rPr>
              <w:t>WA FICO</w:t>
            </w:r>
          </w:p>
        </w:tc>
        <w:tc>
          <w:tcPr>
            <w:tcW w:type="dxa" w:w="1080"/>
          </w:tcPr>
          <w:p>
            <w:r>
              <w:rPr>
                <w:b/>
              </w:rPr>
              <w:t>WA LTV (%)</w:t>
            </w:r>
          </w:p>
        </w:tc>
      </w:tr>
      <w:tr>
        <w:tc>
          <w:tcPr>
            <w:tcW w:type="dxa" w:w="1080"/>
          </w:tcPr>
          <w:p>
            <w:r>
              <w:t>3.0</w:t>
            </w:r>
          </w:p>
        </w:tc>
        <w:tc>
          <w:tcPr>
            <w:tcW w:type="dxa" w:w="1080"/>
          </w:tcPr>
          <w:p>
            <w:r>
              <w:t>350.4</w:t>
            </w:r>
          </w:p>
        </w:tc>
        <w:tc>
          <w:tcPr>
            <w:tcW w:type="dxa" w:w="1080"/>
          </w:tcPr>
          <w:p>
            <w:r>
              <w:t>1547</w:t>
            </w:r>
          </w:p>
        </w:tc>
        <w:tc>
          <w:tcPr>
            <w:tcW w:type="dxa" w:w="1080"/>
          </w:tcPr>
          <w:p>
            <w:r>
              <w:t>3.72</w:t>
            </w:r>
          </w:p>
        </w:tc>
        <w:tc>
          <w:tcPr>
            <w:tcW w:type="dxa" w:w="1080"/>
          </w:tcPr>
          <w:p>
            <w:r>
              <w:t>24.3</w:t>
            </w:r>
          </w:p>
        </w:tc>
        <w:tc>
          <w:tcPr>
            <w:tcW w:type="dxa" w:w="1080"/>
          </w:tcPr>
          <w:p>
            <w:r>
              <w:t>308.0</w:t>
            </w:r>
          </w:p>
        </w:tc>
        <w:tc>
          <w:tcPr>
            <w:tcW w:type="dxa" w:w="1080"/>
          </w:tcPr>
          <w:p>
            <w:r>
              <w:t>744.0</w:t>
            </w:r>
          </w:p>
        </w:tc>
        <w:tc>
          <w:tcPr>
            <w:tcW w:type="dxa" w:w="1080"/>
          </w:tcPr>
          <w:p>
            <w:r>
              <w:t>64.4</w:t>
            </w:r>
          </w:p>
        </w:tc>
      </w:tr>
      <w:tr>
        <w:tc>
          <w:tcPr>
            <w:tcW w:type="dxa" w:w="1080"/>
          </w:tcPr>
          <w:p>
            <w:r>
              <w:t>3.5</w:t>
            </w:r>
          </w:p>
        </w:tc>
        <w:tc>
          <w:tcPr>
            <w:tcW w:type="dxa" w:w="1080"/>
          </w:tcPr>
          <w:p>
            <w:r>
              <w:t>663.8</w:t>
            </w:r>
          </w:p>
        </w:tc>
        <w:tc>
          <w:tcPr>
            <w:tcW w:type="dxa" w:w="1080"/>
          </w:tcPr>
          <w:p>
            <w:r>
              <w:t>1783</w:t>
            </w:r>
          </w:p>
        </w:tc>
        <w:tc>
          <w:tcPr>
            <w:tcW w:type="dxa" w:w="1080"/>
          </w:tcPr>
          <w:p>
            <w:r>
              <w:t>4.173</w:t>
            </w:r>
          </w:p>
        </w:tc>
        <w:tc>
          <w:tcPr>
            <w:tcW w:type="dxa" w:w="1080"/>
          </w:tcPr>
          <w:p>
            <w:r>
              <w:t>24.9</w:t>
            </w:r>
          </w:p>
        </w:tc>
        <w:tc>
          <w:tcPr>
            <w:tcW w:type="dxa" w:w="1080"/>
          </w:tcPr>
          <w:p>
            <w:r>
              <w:t>330.1</w:t>
            </w:r>
          </w:p>
        </w:tc>
        <w:tc>
          <w:tcPr>
            <w:tcW w:type="dxa" w:w="1080"/>
          </w:tcPr>
          <w:p>
            <w:r>
              <w:t>758.0</w:t>
            </w:r>
          </w:p>
        </w:tc>
        <w:tc>
          <w:tcPr>
            <w:tcW w:type="dxa" w:w="1080"/>
          </w:tcPr>
          <w:p>
            <w:r>
              <w:t>79.2</w:t>
            </w:r>
          </w:p>
        </w:tc>
      </w:tr>
      <w:tr>
        <w:tc>
          <w:tcPr>
            <w:tcW w:type="dxa" w:w="1080"/>
          </w:tcPr>
          <w:p>
            <w:r>
              <w:t>4.0</w:t>
            </w:r>
          </w:p>
        </w:tc>
        <w:tc>
          <w:tcPr>
            <w:tcW w:type="dxa" w:w="1080"/>
          </w:tcPr>
          <w:p>
            <w:r>
              <w:t>4924.6</w:t>
            </w:r>
          </w:p>
        </w:tc>
        <w:tc>
          <w:tcPr>
            <w:tcW w:type="dxa" w:w="1080"/>
          </w:tcPr>
          <w:p>
            <w:r>
              <w:t>13649</w:t>
            </w:r>
          </w:p>
        </w:tc>
        <w:tc>
          <w:tcPr>
            <w:tcW w:type="dxa" w:w="1080"/>
          </w:tcPr>
          <w:p>
            <w:r>
              <w:t>4.844</w:t>
            </w:r>
          </w:p>
        </w:tc>
        <w:tc>
          <w:tcPr>
            <w:tcW w:type="dxa" w:w="1080"/>
          </w:tcPr>
          <w:p>
            <w:r>
              <w:t>23.5</w:t>
            </w:r>
          </w:p>
        </w:tc>
        <w:tc>
          <w:tcPr>
            <w:tcW w:type="dxa" w:w="1080"/>
          </w:tcPr>
          <w:p>
            <w:r>
              <w:t>330.6</w:t>
            </w:r>
          </w:p>
        </w:tc>
        <w:tc>
          <w:tcPr>
            <w:tcW w:type="dxa" w:w="1080"/>
          </w:tcPr>
          <w:p>
            <w:r>
              <w:t>758.0</w:t>
            </w:r>
          </w:p>
        </w:tc>
        <w:tc>
          <w:tcPr>
            <w:tcW w:type="dxa" w:w="1080"/>
          </w:tcPr>
          <w:p>
            <w:r>
              <w:t>81.9</w:t>
            </w:r>
          </w:p>
        </w:tc>
      </w:tr>
      <w:tr>
        <w:tc>
          <w:tcPr>
            <w:tcW w:type="dxa" w:w="1080"/>
          </w:tcPr>
          <w:p>
            <w:r>
              <w:t>4.5</w:t>
            </w:r>
          </w:p>
        </w:tc>
        <w:tc>
          <w:tcPr>
            <w:tcW w:type="dxa" w:w="1080"/>
          </w:tcPr>
          <w:p>
            <w:r>
              <w:t>12062.1</w:t>
            </w:r>
          </w:p>
        </w:tc>
        <w:tc>
          <w:tcPr>
            <w:tcW w:type="dxa" w:w="1080"/>
          </w:tcPr>
          <w:p>
            <w:r>
              <w:t>34492</w:t>
            </w:r>
          </w:p>
        </w:tc>
        <w:tc>
          <w:tcPr>
            <w:tcW w:type="dxa" w:w="1080"/>
          </w:tcPr>
          <w:p>
            <w:r>
              <w:t>5.412</w:t>
            </w:r>
          </w:p>
        </w:tc>
        <w:tc>
          <w:tcPr>
            <w:tcW w:type="dxa" w:w="1080"/>
          </w:tcPr>
          <w:p>
            <w:r>
              <w:t>23.4</w:t>
            </w:r>
          </w:p>
        </w:tc>
        <w:tc>
          <w:tcPr>
            <w:tcW w:type="dxa" w:w="1080"/>
          </w:tcPr>
          <w:p>
            <w:r>
              <w:t>329.9</w:t>
            </w:r>
          </w:p>
        </w:tc>
        <w:tc>
          <w:tcPr>
            <w:tcW w:type="dxa" w:w="1080"/>
          </w:tcPr>
          <w:p>
            <w:r>
              <w:t>760.0</w:t>
            </w:r>
          </w:p>
        </w:tc>
        <w:tc>
          <w:tcPr>
            <w:tcW w:type="dxa" w:w="1080"/>
          </w:tcPr>
          <w:p>
            <w:r>
              <w:t>79.5</w:t>
            </w:r>
          </w:p>
        </w:tc>
      </w:tr>
      <w:tr>
        <w:tc>
          <w:tcPr>
            <w:tcW w:type="dxa" w:w="1080"/>
          </w:tcPr>
          <w:p>
            <w:r>
              <w:t>5.0</w:t>
            </w:r>
          </w:p>
        </w:tc>
        <w:tc>
          <w:tcPr>
            <w:tcW w:type="dxa" w:w="1080"/>
          </w:tcPr>
          <w:p>
            <w:r>
              <w:t>41272.9</w:t>
            </w:r>
          </w:p>
        </w:tc>
        <w:tc>
          <w:tcPr>
            <w:tcW w:type="dxa" w:w="1080"/>
          </w:tcPr>
          <w:p>
            <w:r>
              <w:t>118854</w:t>
            </w:r>
          </w:p>
        </w:tc>
        <w:tc>
          <w:tcPr>
            <w:tcW w:type="dxa" w:w="1080"/>
          </w:tcPr>
          <w:p>
            <w:r>
              <w:t>5.95</w:t>
            </w:r>
          </w:p>
        </w:tc>
        <w:tc>
          <w:tcPr>
            <w:tcW w:type="dxa" w:w="1080"/>
          </w:tcPr>
          <w:p>
            <w:r>
              <w:t>23.2</w:t>
            </w:r>
          </w:p>
        </w:tc>
        <w:tc>
          <w:tcPr>
            <w:tcW w:type="dxa" w:w="1080"/>
          </w:tcPr>
          <w:p>
            <w:r>
              <w:t>329.5</w:t>
            </w:r>
          </w:p>
        </w:tc>
        <w:tc>
          <w:tcPr>
            <w:tcW w:type="dxa" w:w="1080"/>
          </w:tcPr>
          <w:p>
            <w:r>
              <w:t>761.0</w:t>
            </w:r>
          </w:p>
        </w:tc>
        <w:tc>
          <w:tcPr>
            <w:tcW w:type="dxa" w:w="1080"/>
          </w:tcPr>
          <w:p>
            <w:r>
              <w:t>78.8</w:t>
            </w:r>
          </w:p>
        </w:tc>
      </w:tr>
      <w:tr>
        <w:tc>
          <w:tcPr>
            <w:tcW w:type="dxa" w:w="1080"/>
          </w:tcPr>
          <w:p>
            <w:r>
              <w:t>5.5</w:t>
            </w:r>
          </w:p>
        </w:tc>
        <w:tc>
          <w:tcPr>
            <w:tcW w:type="dxa" w:w="1080"/>
          </w:tcPr>
          <w:p>
            <w:r>
              <w:t>53371.4</w:t>
            </w:r>
          </w:p>
        </w:tc>
        <w:tc>
          <w:tcPr>
            <w:tcW w:type="dxa" w:w="1080"/>
          </w:tcPr>
          <w:p>
            <w:r>
              <w:t>159594</w:t>
            </w:r>
          </w:p>
        </w:tc>
        <w:tc>
          <w:tcPr>
            <w:tcW w:type="dxa" w:w="1080"/>
          </w:tcPr>
          <w:p>
            <w:r>
              <w:t>6.452</w:t>
            </w:r>
          </w:p>
        </w:tc>
        <w:tc>
          <w:tcPr>
            <w:tcW w:type="dxa" w:w="1080"/>
          </w:tcPr>
          <w:p>
            <w:r>
              <w:t>22.4</w:t>
            </w:r>
          </w:p>
        </w:tc>
        <w:tc>
          <w:tcPr>
            <w:tcW w:type="dxa" w:w="1080"/>
          </w:tcPr>
          <w:p>
            <w:r>
              <w:t>330.0</w:t>
            </w:r>
          </w:p>
        </w:tc>
        <w:tc>
          <w:tcPr>
            <w:tcW w:type="dxa" w:w="1080"/>
          </w:tcPr>
          <w:p>
            <w:r>
              <w:t>759.0</w:t>
            </w:r>
          </w:p>
        </w:tc>
        <w:tc>
          <w:tcPr>
            <w:tcW w:type="dxa" w:w="1080"/>
          </w:tcPr>
          <w:p>
            <w:r>
              <w:t>79.5</w:t>
            </w:r>
          </w:p>
        </w:tc>
      </w:tr>
      <w:tr>
        <w:tc>
          <w:tcPr>
            <w:tcW w:type="dxa" w:w="1080"/>
          </w:tcPr>
          <w:p>
            <w:r>
              <w:t>6.0</w:t>
            </w:r>
          </w:p>
        </w:tc>
        <w:tc>
          <w:tcPr>
            <w:tcW w:type="dxa" w:w="1080"/>
          </w:tcPr>
          <w:p>
            <w:r>
              <w:t>44481.0</w:t>
            </w:r>
          </w:p>
        </w:tc>
        <w:tc>
          <w:tcPr>
            <w:tcW w:type="dxa" w:w="1080"/>
          </w:tcPr>
          <w:p>
            <w:r>
              <w:t>137929</w:t>
            </w:r>
          </w:p>
        </w:tc>
        <w:tc>
          <w:tcPr>
            <w:tcW w:type="dxa" w:w="1080"/>
          </w:tcPr>
          <w:p>
            <w:r>
              <w:t>6.912</w:t>
            </w:r>
          </w:p>
        </w:tc>
        <w:tc>
          <w:tcPr>
            <w:tcW w:type="dxa" w:w="1080"/>
          </w:tcPr>
          <w:p>
            <w:r>
              <w:t>21.0</w:t>
            </w:r>
          </w:p>
        </w:tc>
        <w:tc>
          <w:tcPr>
            <w:tcW w:type="dxa" w:w="1080"/>
          </w:tcPr>
          <w:p>
            <w:r>
              <w:t>331.6</w:t>
            </w:r>
          </w:p>
        </w:tc>
        <w:tc>
          <w:tcPr>
            <w:tcW w:type="dxa" w:w="1080"/>
          </w:tcPr>
          <w:p>
            <w:r>
              <w:t>755.0</w:t>
            </w:r>
          </w:p>
        </w:tc>
        <w:tc>
          <w:tcPr>
            <w:tcW w:type="dxa" w:w="1080"/>
          </w:tcPr>
          <w:p>
            <w:r>
              <w:t>80.0</w:t>
            </w:r>
          </w:p>
        </w:tc>
      </w:tr>
      <w:tr>
        <w:tc>
          <w:tcPr>
            <w:tcW w:type="dxa" w:w="1080"/>
          </w:tcPr>
          <w:p>
            <w:r>
              <w:t>6.5</w:t>
            </w:r>
          </w:p>
        </w:tc>
        <w:tc>
          <w:tcPr>
            <w:tcW w:type="dxa" w:w="1080"/>
          </w:tcPr>
          <w:p>
            <w:r>
              <w:t>31219.6</w:t>
            </w:r>
          </w:p>
        </w:tc>
        <w:tc>
          <w:tcPr>
            <w:tcW w:type="dxa" w:w="1080"/>
          </w:tcPr>
          <w:p>
            <w:r>
              <w:t>97595</w:t>
            </w:r>
          </w:p>
        </w:tc>
        <w:tc>
          <w:tcPr>
            <w:tcW w:type="dxa" w:w="1080"/>
          </w:tcPr>
          <w:p>
            <w:r>
              <w:t>7.384</w:t>
            </w:r>
          </w:p>
        </w:tc>
        <w:tc>
          <w:tcPr>
            <w:tcW w:type="dxa" w:w="1080"/>
          </w:tcPr>
          <w:p>
            <w:r>
              <w:t>19.7</w:t>
            </w:r>
          </w:p>
        </w:tc>
        <w:tc>
          <w:tcPr>
            <w:tcW w:type="dxa" w:w="1080"/>
          </w:tcPr>
          <w:p>
            <w:r>
              <w:t>332.9</w:t>
            </w:r>
          </w:p>
        </w:tc>
        <w:tc>
          <w:tcPr>
            <w:tcW w:type="dxa" w:w="1080"/>
          </w:tcPr>
          <w:p>
            <w:r>
              <w:t>748.0</w:t>
            </w:r>
          </w:p>
        </w:tc>
        <w:tc>
          <w:tcPr>
            <w:tcW w:type="dxa" w:w="1080"/>
          </w:tcPr>
          <w:p>
            <w:r>
              <w:t>80.1</w:t>
            </w:r>
          </w:p>
        </w:tc>
      </w:tr>
      <w:tr>
        <w:tc>
          <w:tcPr>
            <w:tcW w:type="dxa" w:w="1080"/>
          </w:tcPr>
          <w:p>
            <w:r>
              <w:t>7.0</w:t>
            </w:r>
          </w:p>
        </w:tc>
        <w:tc>
          <w:tcPr>
            <w:tcW w:type="dxa" w:w="1080"/>
          </w:tcPr>
          <w:p>
            <w:r>
              <w:t>7212.7</w:t>
            </w:r>
          </w:p>
        </w:tc>
        <w:tc>
          <w:tcPr>
            <w:tcW w:type="dxa" w:w="1080"/>
          </w:tcPr>
          <w:p>
            <w:r>
              <w:t>24340</w:t>
            </w:r>
          </w:p>
        </w:tc>
        <w:tc>
          <w:tcPr>
            <w:tcW w:type="dxa" w:w="1080"/>
          </w:tcPr>
          <w:p>
            <w:r>
              <w:t>7.887</w:t>
            </w:r>
          </w:p>
        </w:tc>
        <w:tc>
          <w:tcPr>
            <w:tcW w:type="dxa" w:w="1080"/>
          </w:tcPr>
          <w:p>
            <w:r>
              <w:t>17.5</w:t>
            </w:r>
          </w:p>
        </w:tc>
        <w:tc>
          <w:tcPr>
            <w:tcW w:type="dxa" w:w="1080"/>
          </w:tcPr>
          <w:p>
            <w:r>
              <w:t>334.4</w:t>
            </w:r>
          </w:p>
        </w:tc>
        <w:tc>
          <w:tcPr>
            <w:tcW w:type="dxa" w:w="1080"/>
          </w:tcPr>
          <w:p>
            <w:r>
              <w:t>742.0</w:t>
            </w:r>
          </w:p>
        </w:tc>
        <w:tc>
          <w:tcPr>
            <w:tcW w:type="dxa" w:w="1080"/>
          </w:tcPr>
          <w:p>
            <w:r>
              <w:t>79.8</w:t>
            </w:r>
          </w:p>
        </w:tc>
      </w:tr>
      <w:tr>
        <w:tc>
          <w:tcPr>
            <w:tcW w:type="dxa" w:w="1080"/>
          </w:tcPr>
          <w:p>
            <w:r>
              <w:t>7.5</w:t>
            </w:r>
          </w:p>
        </w:tc>
        <w:tc>
          <w:tcPr>
            <w:tcW w:type="dxa" w:w="1080"/>
          </w:tcPr>
          <w:p>
            <w:r>
              <w:t>939.3</w:t>
            </w:r>
          </w:p>
        </w:tc>
        <w:tc>
          <w:tcPr>
            <w:tcW w:type="dxa" w:w="1080"/>
          </w:tcPr>
          <w:p>
            <w:r>
              <w:t>3252</w:t>
            </w:r>
          </w:p>
        </w:tc>
        <w:tc>
          <w:tcPr>
            <w:tcW w:type="dxa" w:w="1080"/>
          </w:tcPr>
          <w:p>
            <w:r>
              <w:t>8.464</w:t>
            </w:r>
          </w:p>
        </w:tc>
        <w:tc>
          <w:tcPr>
            <w:tcW w:type="dxa" w:w="1080"/>
          </w:tcPr>
          <w:p>
            <w:r>
              <w:t>16.5</w:t>
            </w:r>
          </w:p>
        </w:tc>
        <w:tc>
          <w:tcPr>
            <w:tcW w:type="dxa" w:w="1080"/>
          </w:tcPr>
          <w:p>
            <w:r>
              <w:t>334.6</w:t>
            </w:r>
          </w:p>
        </w:tc>
        <w:tc>
          <w:tcPr>
            <w:tcW w:type="dxa" w:w="1080"/>
          </w:tcPr>
          <w:p>
            <w:r>
              <w:t>734.0</w:t>
            </w:r>
          </w:p>
        </w:tc>
        <w:tc>
          <w:tcPr>
            <w:tcW w:type="dxa" w:w="1080"/>
          </w:tcPr>
          <w:p>
            <w:r>
              <w:t>79.7</w:t>
            </w:r>
          </w:p>
        </w:tc>
      </w:tr>
    </w:tbl>
    <w:p/>
    <w:p>
      <w:pPr>
        <w:pStyle w:val="Heading2"/>
      </w:pPr>
      <w:r>
        <w:rPr>
          <w:color w:val="1D4ED8"/>
        </w:rPr>
        <w:t>3_3: Monthly Outstanding Balance &amp; Aggregate CPR</w:t>
      </w:r>
    </w:p>
    <w:p>
      <w:pPr>
        <w:jc w:val="center"/>
      </w:pPr>
      <w:r>
        <w:drawing>
          <wp:inline xmlns:a="http://schemas.openxmlformats.org/drawingml/2006/main" xmlns:pic="http://schemas.openxmlformats.org/drawingml/2006/picture">
            <wp:extent cx="5669280" cy="2923464"/>
            <wp:docPr id="3" name="Picture 3"/>
            <wp:cNvGraphicFramePr>
              <a:graphicFrameLocks noChangeAspect="1"/>
            </wp:cNvGraphicFramePr>
            <a:graphic>
              <a:graphicData uri="http://schemas.openxmlformats.org/drawingml/2006/picture">
                <pic:pic>
                  <pic:nvPicPr>
                    <pic:cNvPr id="0" name="q3_3a_balance.png"/>
                    <pic:cNvPicPr/>
                  </pic:nvPicPr>
                  <pic:blipFill>
                    <a:blip r:embed="rId11"/>
                    <a:stretch>
                      <a:fillRect/>
                    </a:stretch>
                  </pic:blipFill>
                  <pic:spPr>
                    <a:xfrm>
                      <a:off x="0" y="0"/>
                      <a:ext cx="5669280" cy="2923464"/>
                    </a:xfrm>
                    <a:prstGeom prst="rect"/>
                  </pic:spPr>
                </pic:pic>
              </a:graphicData>
            </a:graphic>
          </wp:inline>
        </w:drawing>
      </w:r>
    </w:p>
    <w:p>
      <w:r>
        <w:t>Outstanding Balance Trend:</w:t>
        <w:br/>
        <w:t>The total outstanding balance across all pools has evolved as follows: early in the dataset (2023), balance grows as new cohorts are added. As pools age and prepayments occur, some balance reduction is visible. The trend reflects both new issuance additions to the data set and ongoing principal amortization/prepayment.</w:t>
      </w:r>
    </w:p>
    <w:p>
      <w:pPr>
        <w:jc w:val="center"/>
      </w:pPr>
      <w:r>
        <w:drawing>
          <wp:inline xmlns:a="http://schemas.openxmlformats.org/drawingml/2006/main" xmlns:pic="http://schemas.openxmlformats.org/drawingml/2006/picture">
            <wp:extent cx="5669280" cy="3114401"/>
            <wp:docPr id="4" name="Picture 4"/>
            <wp:cNvGraphicFramePr>
              <a:graphicFrameLocks noChangeAspect="1"/>
            </wp:cNvGraphicFramePr>
            <a:graphic>
              <a:graphicData uri="http://schemas.openxmlformats.org/drawingml/2006/picture">
                <pic:pic>
                  <pic:nvPicPr>
                    <pic:cNvPr id="0" name="q3_3b_cpr.png"/>
                    <pic:cNvPicPr/>
                  </pic:nvPicPr>
                  <pic:blipFill>
                    <a:blip r:embed="rId12"/>
                    <a:stretch>
                      <a:fillRect/>
                    </a:stretch>
                  </pic:blipFill>
                  <pic:spPr>
                    <a:xfrm>
                      <a:off x="0" y="0"/>
                      <a:ext cx="5669280" cy="3114401"/>
                    </a:xfrm>
                    <a:prstGeom prst="rect"/>
                  </pic:spPr>
                </pic:pic>
              </a:graphicData>
            </a:graphic>
          </wp:inline>
        </w:drawing>
      </w:r>
    </w:p>
    <w:p>
      <w:r>
        <w:t>Aggregate CPR Trend:</w:t>
        <w:br/>
        <w:t>The balance-weighted aggregate CPR exhibits elevated prepayment speeds in certain months correlated with rate movements. When mortgage rates fell (or borrowers had refinancing incentives), CPR rose; when rates climbed, CPR compressed. The generally elevated rate environment post-2022 has suppressed aggregate prepayment speeds relative to historical norms.</w:t>
      </w:r>
    </w:p>
    <w:p>
      <w:pPr>
        <w:pStyle w:val="Heading2"/>
      </w:pPr>
      <w:r>
        <w:rPr>
          <w:color w:val="1D4ED8"/>
        </w:rPr>
        <w:t>3_4 (Bonus): WAC Impact on Prepayment Speed (CPR)</w:t>
      </w:r>
    </w:p>
    <w:p>
      <w:pPr>
        <w:jc w:val="center"/>
      </w:pPr>
      <w:r>
        <w:drawing>
          <wp:inline xmlns:a="http://schemas.openxmlformats.org/drawingml/2006/main" xmlns:pic="http://schemas.openxmlformats.org/drawingml/2006/picture">
            <wp:extent cx="5669280" cy="3411301"/>
            <wp:docPr id="5" name="Picture 5"/>
            <wp:cNvGraphicFramePr>
              <a:graphicFrameLocks noChangeAspect="1"/>
            </wp:cNvGraphicFramePr>
            <a:graphic>
              <a:graphicData uri="http://schemas.openxmlformats.org/drawingml/2006/picture">
                <pic:pic>
                  <pic:nvPicPr>
                    <pic:cNvPr id="0" name="q3_4_wac_cpr.png"/>
                    <pic:cNvPicPr/>
                  </pic:nvPicPr>
                  <pic:blipFill>
                    <a:blip r:embed="rId13"/>
                    <a:stretch>
                      <a:fillRect/>
                    </a:stretch>
                  </pic:blipFill>
                  <pic:spPr>
                    <a:xfrm>
                      <a:off x="0" y="0"/>
                      <a:ext cx="5669280" cy="3411301"/>
                    </a:xfrm>
                    <a:prstGeom prst="rect"/>
                  </pic:spPr>
                </pic:pic>
              </a:graphicData>
            </a:graphic>
          </wp:inline>
        </w:drawing>
      </w:r>
    </w:p>
    <w:p>
      <w:pPr>
        <w:jc w:val="center"/>
      </w:pPr>
      <w:r>
        <w:drawing>
          <wp:inline xmlns:a="http://schemas.openxmlformats.org/drawingml/2006/main" xmlns:pic="http://schemas.openxmlformats.org/drawingml/2006/picture">
            <wp:extent cx="5669280" cy="3622758"/>
            <wp:docPr id="6" name="Picture 6"/>
            <wp:cNvGraphicFramePr>
              <a:graphicFrameLocks noChangeAspect="1"/>
            </wp:cNvGraphicFramePr>
            <a:graphic>
              <a:graphicData uri="http://schemas.openxmlformats.org/drawingml/2006/picture">
                <pic:pic>
                  <pic:nvPicPr>
                    <pic:cNvPr id="0" name="q3_4_wac_cpr_scatter.png"/>
                    <pic:cNvPicPr/>
                  </pic:nvPicPr>
                  <pic:blipFill>
                    <a:blip r:embed="rId14"/>
                    <a:stretch>
                      <a:fillRect/>
                    </a:stretch>
                  </pic:blipFill>
                  <pic:spPr>
                    <a:xfrm>
                      <a:off x="0" y="0"/>
                      <a:ext cx="5669280" cy="3622758"/>
                    </a:xfrm>
                    <a:prstGeom prst="rect"/>
                  </pic:spPr>
                </pic:pic>
              </a:graphicData>
            </a:graphic>
          </wp:inline>
        </w:drawing>
      </w:r>
    </w:p>
    <w:p>
      <w:r>
        <w:t>Findings — WAC vs CPR:</w:t>
        <w:br/>
        <w:t>Higher WAC pools tend to exhibit higher prepayment speeds. This is consistent with the refinancing incentive theory: borrowers with above-market loans (higher WAC) are more motivated to refinance when rates fall even slightly, because the rate differential provides meaningful monthly payment savings. Specifically:</w:t>
        <w:br/>
        <w:t>• Pools with WAC in the 7.5%+ range show the highest average CPR, as these borrowers bear the greatest financial incentive to refinance.</w:t>
        <w:br/>
        <w:t>• Lower WAC pools (5.0–5.5%) show suppressed CPR because their note rate is already near or below current market rates — no refinancing benefit exists.</w:t>
        <w:br/>
        <w:t>• The WAC-CPR relationship is not perfectly linear; it also depends on pool age, loan size (AOLS), credit quality (FICO), and LTV (ability to refinance).</w:t>
        <w:br/>
        <w:t>• The scatter plot shows significant dispersion within each WAC range, confirming that WAC alone does not fully explain prepayment behavior — it is one of several drivers.</w:t>
      </w:r>
    </w:p>
    <w:p>
      <w:pPr>
        <w:pStyle w:val="Heading1"/>
      </w:pPr>
      <w:r>
        <w:rPr>
          <w:color w:val="1E3A8A"/>
        </w:rPr>
        <w:t>Section 4 – Agency MBS Pool Yield Table Study (0.5 pts)</w:t>
      </w:r>
    </w:p>
    <w:p>
      <w:r>
        <w:t>Below is the analysis of Bloomberg yield tables for a Fannie Mae 30-year MBS (CUSIP 01F040610, Coupon 4.0%) under three prices (100, 110, 90) and seven standard interest rate / prepayment speed scenarios.</w:t>
      </w:r>
    </w:p>
    <w:p>
      <w:pPr>
        <w:pStyle w:val="Heading2"/>
      </w:pPr>
      <w:r>
        <w:rPr>
          <w:color w:val="1D4ED8"/>
        </w:rPr>
        <w:t>Bloomberg Yield Table Screenshots</w:t>
      </w:r>
    </w:p>
    <w:p>
      <w:r>
        <w:t>[Price = 100 (Par)]</w:t>
      </w:r>
    </w:p>
    <w:p>
      <w:pPr>
        <w:jc w:val="center"/>
      </w:pPr>
      <w:r>
        <w:drawing>
          <wp:inline xmlns:a="http://schemas.openxmlformats.org/drawingml/2006/main" xmlns:pic="http://schemas.openxmlformats.org/drawingml/2006/picture">
            <wp:extent cx="5486400" cy="3084913"/>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86400" cy="3084913"/>
                    </a:xfrm>
                    <a:prstGeom prst="rect"/>
                  </pic:spPr>
                </pic:pic>
              </a:graphicData>
            </a:graphic>
          </wp:inline>
        </w:drawing>
      </w:r>
    </w:p>
    <w:p>
      <w:r>
        <w:t>[Price = 110 (Premium)]</w:t>
      </w:r>
    </w:p>
    <w:p>
      <w:pPr>
        <w:jc w:val="center"/>
      </w:pPr>
      <w:r>
        <w:drawing>
          <wp:inline xmlns:a="http://schemas.openxmlformats.org/drawingml/2006/main" xmlns:pic="http://schemas.openxmlformats.org/drawingml/2006/picture">
            <wp:extent cx="5486400" cy="3084576"/>
            <wp:docPr id="8" name="Picture 8"/>
            <wp:cNvGraphicFramePr>
              <a:graphicFrameLocks noChangeAspect="1"/>
            </wp:cNvGraphicFramePr>
            <a:graphic>
              <a:graphicData uri="http://schemas.openxmlformats.org/drawingml/2006/picture">
                <pic:pic>
                  <pic:nvPicPr>
                    <pic:cNvPr id="0" name="image copy.png"/>
                    <pic:cNvPicPr/>
                  </pic:nvPicPr>
                  <pic:blipFill>
                    <a:blip r:embed="rId16"/>
                    <a:stretch>
                      <a:fillRect/>
                    </a:stretch>
                  </pic:blipFill>
                  <pic:spPr>
                    <a:xfrm>
                      <a:off x="0" y="0"/>
                      <a:ext cx="5486400" cy="3084576"/>
                    </a:xfrm>
                    <a:prstGeom prst="rect"/>
                  </pic:spPr>
                </pic:pic>
              </a:graphicData>
            </a:graphic>
          </wp:inline>
        </w:drawing>
      </w:r>
    </w:p>
    <w:p>
      <w:r>
        <w:t>[Price = 90 (Discount)]</w:t>
      </w:r>
    </w:p>
    <w:p>
      <w:pPr>
        <w:jc w:val="center"/>
      </w:pPr>
      <w:r>
        <w:drawing>
          <wp:inline xmlns:a="http://schemas.openxmlformats.org/drawingml/2006/main" xmlns:pic="http://schemas.openxmlformats.org/drawingml/2006/picture">
            <wp:extent cx="5486400" cy="3084576"/>
            <wp:docPr id="9" name="Picture 9"/>
            <wp:cNvGraphicFramePr>
              <a:graphicFrameLocks noChangeAspect="1"/>
            </wp:cNvGraphicFramePr>
            <a:graphic>
              <a:graphicData uri="http://schemas.openxmlformats.org/drawingml/2006/picture">
                <pic:pic>
                  <pic:nvPicPr>
                    <pic:cNvPr id="0" name="image copy 2.png"/>
                    <pic:cNvPicPr/>
                  </pic:nvPicPr>
                  <pic:blipFill>
                    <a:blip r:embed="rId17"/>
                    <a:stretch>
                      <a:fillRect/>
                    </a:stretch>
                  </pic:blipFill>
                  <pic:spPr>
                    <a:xfrm>
                      <a:off x="0" y="0"/>
                      <a:ext cx="5486400" cy="3084576"/>
                    </a:xfrm>
                    <a:prstGeom prst="rect"/>
                  </pic:spPr>
                </pic:pic>
              </a:graphicData>
            </a:graphic>
          </wp:inline>
        </w:drawing>
      </w:r>
    </w:p>
    <w:p>
      <w:pPr>
        <w:pStyle w:val="Heading2"/>
      </w:pPr>
      <w:r>
        <w:rPr>
          <w:color w:val="1D4ED8"/>
        </w:rPr>
        <w:t>Extracted Data Summary</w:t>
      </w:r>
    </w:p>
    <w:p>
      <w:r>
        <w:rPr>
          <w:b/>
        </w:rPr>
        <w:t>Table 5 – Bloomberg Yield Table Data</w:t>
      </w:r>
    </w:p>
    <w:tbl>
      <w:tblPr>
        <w:tblStyle w:val="LightShading-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Rate Scenario</w:t>
            </w:r>
          </w:p>
        </w:tc>
        <w:tc>
          <w:tcPr>
            <w:tcW w:type="dxa" w:w="960"/>
          </w:tcPr>
          <w:p>
            <w:r>
              <w:rPr>
                <w:b/>
              </w:rPr>
              <w:t>PSA</w:t>
            </w:r>
          </w:p>
        </w:tc>
        <w:tc>
          <w:tcPr>
            <w:tcW w:type="dxa" w:w="960"/>
          </w:tcPr>
          <w:p>
            <w:r>
              <w:rPr>
                <w:b/>
              </w:rPr>
              <w:t>Yield@100</w:t>
            </w:r>
          </w:p>
        </w:tc>
        <w:tc>
          <w:tcPr>
            <w:tcW w:type="dxa" w:w="960"/>
          </w:tcPr>
          <w:p>
            <w:r>
              <w:rPr>
                <w:b/>
              </w:rPr>
              <w:t>Yield@110</w:t>
            </w:r>
          </w:p>
        </w:tc>
        <w:tc>
          <w:tcPr>
            <w:tcW w:type="dxa" w:w="960"/>
          </w:tcPr>
          <w:p>
            <w:r>
              <w:rPr>
                <w:b/>
              </w:rPr>
              <w:t>Yield@90</w:t>
            </w:r>
          </w:p>
        </w:tc>
        <w:tc>
          <w:tcPr>
            <w:tcW w:type="dxa" w:w="960"/>
          </w:tcPr>
          <w:p>
            <w:r>
              <w:rPr>
                <w:b/>
              </w:rPr>
              <w:t>Avg Life</w:t>
            </w:r>
          </w:p>
        </w:tc>
        <w:tc>
          <w:tcPr>
            <w:tcW w:type="dxa" w:w="960"/>
          </w:tcPr>
          <w:p>
            <w:r>
              <w:rPr>
                <w:b/>
              </w:rPr>
              <w:t>Dur@100</w:t>
            </w:r>
          </w:p>
        </w:tc>
        <w:tc>
          <w:tcPr>
            <w:tcW w:type="dxa" w:w="960"/>
          </w:tcPr>
          <w:p>
            <w:r>
              <w:rPr>
                <w:b/>
              </w:rPr>
              <w:t>Dur@110</w:t>
            </w:r>
          </w:p>
        </w:tc>
        <w:tc>
          <w:tcPr>
            <w:tcW w:type="dxa" w:w="960"/>
          </w:tcPr>
          <w:p>
            <w:r>
              <w:rPr>
                <w:b/>
              </w:rPr>
              <w:t>Dur@90</w:t>
            </w:r>
          </w:p>
        </w:tc>
      </w:tr>
      <w:tr>
        <w:tc>
          <w:tcPr>
            <w:tcW w:type="dxa" w:w="960"/>
          </w:tcPr>
          <w:p>
            <w:r>
              <w:t>+300</w:t>
            </w:r>
          </w:p>
        </w:tc>
        <w:tc>
          <w:tcPr>
            <w:tcW w:type="dxa" w:w="960"/>
          </w:tcPr>
          <w:p>
            <w:r>
              <w:t>82</w:t>
            </w:r>
          </w:p>
        </w:tc>
        <w:tc>
          <w:tcPr>
            <w:tcW w:type="dxa" w:w="960"/>
          </w:tcPr>
          <w:p>
            <w:r>
              <w:t>4.0018%</w:t>
            </w:r>
          </w:p>
        </w:tc>
        <w:tc>
          <w:tcPr>
            <w:tcW w:type="dxa" w:w="960"/>
          </w:tcPr>
          <w:p>
            <w:r>
              <w:t>2.9070%</w:t>
            </w:r>
          </w:p>
        </w:tc>
        <w:tc>
          <w:tcPr>
            <w:tcW w:type="dxa" w:w="960"/>
          </w:tcPr>
          <w:p>
            <w:r>
              <w:t>5.2983%</w:t>
            </w:r>
          </w:p>
        </w:tc>
        <w:tc>
          <w:tcPr>
            <w:tcW w:type="dxa" w:w="960"/>
          </w:tcPr>
          <w:p>
            <w:r>
              <w:t>11.63 yr</w:t>
            </w:r>
          </w:p>
        </w:tc>
        <w:tc>
          <w:tcPr>
            <w:tcW w:type="dxa" w:w="960"/>
          </w:tcPr>
          <w:p>
            <w:r>
              <w:t>8.20 yr</w:t>
            </w:r>
          </w:p>
        </w:tc>
        <w:tc>
          <w:tcPr>
            <w:tcW w:type="dxa" w:w="960"/>
          </w:tcPr>
          <w:p>
            <w:r>
              <w:t>8.98 yr</w:t>
            </w:r>
          </w:p>
        </w:tc>
        <w:tc>
          <w:tcPr>
            <w:tcW w:type="dxa" w:w="960"/>
          </w:tcPr>
          <w:p>
            <w:r>
              <w:t>7.82 yr</w:t>
            </w:r>
          </w:p>
        </w:tc>
      </w:tr>
      <w:tr>
        <w:tc>
          <w:tcPr>
            <w:tcW w:type="dxa" w:w="960"/>
          </w:tcPr>
          <w:p>
            <w:r>
              <w:t>+200</w:t>
            </w:r>
          </w:p>
        </w:tc>
        <w:tc>
          <w:tcPr>
            <w:tcW w:type="dxa" w:w="960"/>
          </w:tcPr>
          <w:p>
            <w:r>
              <w:t>89</w:t>
            </w:r>
          </w:p>
        </w:tc>
        <w:tc>
          <w:tcPr>
            <w:tcW w:type="dxa" w:w="960"/>
          </w:tcPr>
          <w:p>
            <w:r>
              <w:t>4.0010%</w:t>
            </w:r>
          </w:p>
        </w:tc>
        <w:tc>
          <w:tcPr>
            <w:tcW w:type="dxa" w:w="960"/>
          </w:tcPr>
          <w:p>
            <w:r>
              <w:t>2.8767%</w:t>
            </w:r>
          </w:p>
        </w:tc>
        <w:tc>
          <w:tcPr>
            <w:tcW w:type="dxa" w:w="960"/>
          </w:tcPr>
          <w:p>
            <w:r>
              <w:t>5.3338%</w:t>
            </w:r>
          </w:p>
        </w:tc>
        <w:tc>
          <w:tcPr>
            <w:tcW w:type="dxa" w:w="960"/>
          </w:tcPr>
          <w:p>
            <w:r>
              <w:t>11.25 yr</w:t>
            </w:r>
          </w:p>
        </w:tc>
        <w:tc>
          <w:tcPr>
            <w:tcW w:type="dxa" w:w="960"/>
          </w:tcPr>
          <w:p>
            <w:r>
              <w:t>8.20 yr</w:t>
            </w:r>
          </w:p>
        </w:tc>
        <w:tc>
          <w:tcPr>
            <w:tcW w:type="dxa" w:w="960"/>
          </w:tcPr>
          <w:p>
            <w:r>
              <w:t>8.75 yr</w:t>
            </w:r>
          </w:p>
        </w:tc>
        <w:tc>
          <w:tcPr>
            <w:tcW w:type="dxa" w:w="960"/>
          </w:tcPr>
          <w:p>
            <w:r>
              <w:t>7.60 yr</w:t>
            </w:r>
          </w:p>
        </w:tc>
      </w:tr>
      <w:tr>
        <w:tc>
          <w:tcPr>
            <w:tcW w:type="dxa" w:w="960"/>
          </w:tcPr>
          <w:p>
            <w:r>
              <w:t>+100</w:t>
            </w:r>
          </w:p>
        </w:tc>
        <w:tc>
          <w:tcPr>
            <w:tcW w:type="dxa" w:w="960"/>
          </w:tcPr>
          <w:p>
            <w:r>
              <w:t>99</w:t>
            </w:r>
          </w:p>
        </w:tc>
        <w:tc>
          <w:tcPr>
            <w:tcW w:type="dxa" w:w="960"/>
          </w:tcPr>
          <w:p>
            <w:r>
              <w:t>3.9997%</w:t>
            </w:r>
          </w:p>
        </w:tc>
        <w:tc>
          <w:tcPr>
            <w:tcW w:type="dxa" w:w="960"/>
          </w:tcPr>
          <w:p>
            <w:r>
              <w:t>2.8331%</w:t>
            </w:r>
          </w:p>
        </w:tc>
        <w:tc>
          <w:tcPr>
            <w:tcW w:type="dxa" w:w="960"/>
          </w:tcPr>
          <w:p>
            <w:r>
              <w:t>5.3848%</w:t>
            </w:r>
          </w:p>
        </w:tc>
        <w:tc>
          <w:tcPr>
            <w:tcW w:type="dxa" w:w="960"/>
          </w:tcPr>
          <w:p>
            <w:r>
              <w:t>10.73 yr</w:t>
            </w:r>
          </w:p>
        </w:tc>
        <w:tc>
          <w:tcPr>
            <w:tcW w:type="dxa" w:w="960"/>
          </w:tcPr>
          <w:p>
            <w:r>
              <w:t>8.20 yr</w:t>
            </w:r>
          </w:p>
        </w:tc>
        <w:tc>
          <w:tcPr>
            <w:tcW w:type="dxa" w:w="960"/>
          </w:tcPr>
          <w:p>
            <w:r>
              <w:t>8.43 yr</w:t>
            </w:r>
          </w:p>
        </w:tc>
        <w:tc>
          <w:tcPr>
            <w:tcW w:type="dxa" w:w="960"/>
          </w:tcPr>
          <w:p>
            <w:r>
              <w:t>7.31 yr</w:t>
            </w:r>
          </w:p>
        </w:tc>
      </w:tr>
      <w:tr>
        <w:tc>
          <w:tcPr>
            <w:tcW w:type="dxa" w:w="960"/>
          </w:tcPr>
          <w:p>
            <w:r>
              <w:t>0 (Base)</w:t>
            </w:r>
          </w:p>
        </w:tc>
        <w:tc>
          <w:tcPr>
            <w:tcW w:type="dxa" w:w="960"/>
          </w:tcPr>
          <w:p>
            <w:r>
              <w:t>116</w:t>
            </w:r>
          </w:p>
        </w:tc>
        <w:tc>
          <w:tcPr>
            <w:tcW w:type="dxa" w:w="960"/>
          </w:tcPr>
          <w:p>
            <w:r>
              <w:t>3.9976%</w:t>
            </w:r>
          </w:p>
        </w:tc>
        <w:tc>
          <w:tcPr>
            <w:tcW w:type="dxa" w:w="960"/>
          </w:tcPr>
          <w:p>
            <w:r>
              <w:t>2.7579%</w:t>
            </w:r>
          </w:p>
        </w:tc>
        <w:tc>
          <w:tcPr>
            <w:tcW w:type="dxa" w:w="960"/>
          </w:tcPr>
          <w:p>
            <w:r>
              <w:t>5.4727%</w:t>
            </w:r>
          </w:p>
        </w:tc>
        <w:tc>
          <w:tcPr>
            <w:tcW w:type="dxa" w:w="960"/>
          </w:tcPr>
          <w:p>
            <w:r>
              <w:t>9.94 yr</w:t>
            </w:r>
          </w:p>
        </w:tc>
        <w:tc>
          <w:tcPr>
            <w:tcW w:type="dxa" w:w="960"/>
          </w:tcPr>
          <w:p>
            <w:r>
              <w:t>7.42 yr</w:t>
            </w:r>
          </w:p>
        </w:tc>
        <w:tc>
          <w:tcPr>
            <w:tcW w:type="dxa" w:w="960"/>
          </w:tcPr>
          <w:p>
            <w:r>
              <w:t>7.95 yr</w:t>
            </w:r>
          </w:p>
        </w:tc>
        <w:tc>
          <w:tcPr>
            <w:tcW w:type="dxa" w:w="960"/>
          </w:tcPr>
          <w:p>
            <w:r>
              <w:t>6.86 yr</w:t>
            </w:r>
          </w:p>
        </w:tc>
      </w:tr>
      <w:tr>
        <w:tc>
          <w:tcPr>
            <w:tcW w:type="dxa" w:w="960"/>
          </w:tcPr>
          <w:p>
            <w:r>
              <w:t>-100</w:t>
            </w:r>
          </w:p>
        </w:tc>
        <w:tc>
          <w:tcPr>
            <w:tcW w:type="dxa" w:w="960"/>
          </w:tcPr>
          <w:p>
            <w:r>
              <w:t>224</w:t>
            </w:r>
          </w:p>
        </w:tc>
        <w:tc>
          <w:tcPr>
            <w:tcW w:type="dxa" w:w="960"/>
          </w:tcPr>
          <w:p>
            <w:r>
              <w:t>3.9833%</w:t>
            </w:r>
          </w:p>
        </w:tc>
        <w:tc>
          <w:tcPr>
            <w:tcW w:type="dxa" w:w="960"/>
          </w:tcPr>
          <w:p>
            <w:r>
              <w:t>2.2601%</w:t>
            </w:r>
          </w:p>
        </w:tc>
        <w:tc>
          <w:tcPr>
            <w:tcW w:type="dxa" w:w="960"/>
          </w:tcPr>
          <w:p>
            <w:r>
              <w:t>6.0489%</w:t>
            </w:r>
          </w:p>
        </w:tc>
        <w:tc>
          <w:tcPr>
            <w:tcW w:type="dxa" w:w="960"/>
          </w:tcPr>
          <w:p>
            <w:r>
              <w:t>6.60 yr</w:t>
            </w:r>
          </w:p>
        </w:tc>
        <w:tc>
          <w:tcPr>
            <w:tcW w:type="dxa" w:w="960"/>
          </w:tcPr>
          <w:p>
            <w:r>
              <w:t>5.32 yr</w:t>
            </w:r>
          </w:p>
        </w:tc>
        <w:tc>
          <w:tcPr>
            <w:tcW w:type="dxa" w:w="960"/>
          </w:tcPr>
          <w:p>
            <w:r>
              <w:t>5.74 yr</w:t>
            </w:r>
          </w:p>
        </w:tc>
        <w:tc>
          <w:tcPr>
            <w:tcW w:type="dxa" w:w="960"/>
          </w:tcPr>
          <w:p>
            <w:r>
              <w:t>4.88 yr</w:t>
            </w:r>
          </w:p>
        </w:tc>
      </w:tr>
      <w:tr>
        <w:tc>
          <w:tcPr>
            <w:tcW w:type="dxa" w:w="960"/>
          </w:tcPr>
          <w:p>
            <w:r>
              <w:t>-200</w:t>
            </w:r>
          </w:p>
        </w:tc>
        <w:tc>
          <w:tcPr>
            <w:tcW w:type="dxa" w:w="960"/>
          </w:tcPr>
          <w:p>
            <w:r>
              <w:t>554</w:t>
            </w:r>
          </w:p>
        </w:tc>
        <w:tc>
          <w:tcPr>
            <w:tcW w:type="dxa" w:w="960"/>
          </w:tcPr>
          <w:p>
            <w:r>
              <w:t>3.9395%</w:t>
            </w:r>
          </w:p>
        </w:tc>
        <w:tc>
          <w:tcPr>
            <w:tcW w:type="dxa" w:w="960"/>
          </w:tcPr>
          <w:p>
            <w:r>
              <w:t>0.7026%</w:t>
            </w:r>
          </w:p>
        </w:tc>
        <w:tc>
          <w:tcPr>
            <w:tcW w:type="dxa" w:w="960"/>
          </w:tcPr>
          <w:p>
            <w:r>
              <w:t>7.8047%</w:t>
            </w:r>
          </w:p>
        </w:tc>
        <w:tc>
          <w:tcPr>
            <w:tcW w:type="dxa" w:w="960"/>
          </w:tcPr>
          <w:p>
            <w:r>
              <w:t>3.17 yr</w:t>
            </w:r>
          </w:p>
        </w:tc>
        <w:tc>
          <w:tcPr>
            <w:tcW w:type="dxa" w:w="960"/>
          </w:tcPr>
          <w:p>
            <w:r>
              <w:t>2.84 yr</w:t>
            </w:r>
          </w:p>
        </w:tc>
        <w:tc>
          <w:tcPr>
            <w:tcW w:type="dxa" w:w="960"/>
          </w:tcPr>
          <w:p>
            <w:r>
              <w:t>3.05 yr</w:t>
            </w:r>
          </w:p>
        </w:tc>
        <w:tc>
          <w:tcPr>
            <w:tcW w:type="dxa" w:w="960"/>
          </w:tcPr>
          <w:p>
            <w:r>
              <w:t>2.61 yr</w:t>
            </w:r>
          </w:p>
        </w:tc>
      </w:tr>
      <w:tr>
        <w:tc>
          <w:tcPr>
            <w:tcW w:type="dxa" w:w="960"/>
          </w:tcPr>
          <w:p>
            <w:r>
              <w:t>-300</w:t>
            </w:r>
          </w:p>
        </w:tc>
        <w:tc>
          <w:tcPr>
            <w:tcW w:type="dxa" w:w="960"/>
          </w:tcPr>
          <w:p>
            <w:r>
              <w:t>1434</w:t>
            </w:r>
          </w:p>
        </w:tc>
        <w:tc>
          <w:tcPr>
            <w:tcW w:type="dxa" w:w="960"/>
          </w:tcPr>
          <w:p>
            <w:r>
              <w:t>3.8310%</w:t>
            </w:r>
          </w:p>
        </w:tc>
        <w:tc>
          <w:tcPr>
            <w:tcW w:type="dxa" w:w="960"/>
          </w:tcPr>
          <w:p>
            <w:r>
              <w:t>-3.1692%</w:t>
            </w:r>
          </w:p>
        </w:tc>
        <w:tc>
          <w:tcPr>
            <w:tcW w:type="dxa" w:w="960"/>
          </w:tcPr>
          <w:p>
            <w:r>
              <w:t>12.1226%</w:t>
            </w:r>
          </w:p>
        </w:tc>
        <w:tc>
          <w:tcPr>
            <w:tcW w:type="dxa" w:w="960"/>
          </w:tcPr>
          <w:p>
            <w:r>
              <w:t>1.39 yr</w:t>
            </w:r>
          </w:p>
        </w:tc>
        <w:tc>
          <w:tcPr>
            <w:tcW w:type="dxa" w:w="960"/>
          </w:tcPr>
          <w:p>
            <w:r>
              <w:t>1.32 yr</w:t>
            </w:r>
          </w:p>
        </w:tc>
        <w:tc>
          <w:tcPr>
            <w:tcW w:type="dxa" w:w="960"/>
          </w:tcPr>
          <w:p>
            <w:r>
              <w:t>1.40 yr</w:t>
            </w:r>
          </w:p>
        </w:tc>
        <w:tc>
          <w:tcPr>
            <w:tcW w:type="dxa" w:w="960"/>
          </w:tcPr>
          <w:p>
            <w:r>
              <w:t>1.22 yr</w:t>
            </w:r>
          </w:p>
        </w:tc>
      </w:tr>
    </w:tbl>
    <w:p/>
    <w:p>
      <w:pPr>
        <w:pStyle w:val="Heading2"/>
      </w:pPr>
      <w:r>
        <w:rPr>
          <w:color w:val="1D4ED8"/>
        </w:rPr>
        <w:t>Chart: PSA vs Average Life</w:t>
      </w:r>
    </w:p>
    <w:p>
      <w:pPr>
        <w:jc w:val="center"/>
      </w:pPr>
      <w:r>
        <w:drawing>
          <wp:inline xmlns:a="http://schemas.openxmlformats.org/drawingml/2006/main" xmlns:pic="http://schemas.openxmlformats.org/drawingml/2006/picture">
            <wp:extent cx="5669280" cy="3470887"/>
            <wp:docPr id="10" name="Picture 10"/>
            <wp:cNvGraphicFramePr>
              <a:graphicFrameLocks noChangeAspect="1"/>
            </wp:cNvGraphicFramePr>
            <a:graphic>
              <a:graphicData uri="http://schemas.openxmlformats.org/drawingml/2006/picture">
                <pic:pic>
                  <pic:nvPicPr>
                    <pic:cNvPr id="0" name="q4_psa_avg_life.png"/>
                    <pic:cNvPicPr/>
                  </pic:nvPicPr>
                  <pic:blipFill>
                    <a:blip r:embed="rId18"/>
                    <a:stretch>
                      <a:fillRect/>
                    </a:stretch>
                  </pic:blipFill>
                  <pic:spPr>
                    <a:xfrm>
                      <a:off x="0" y="0"/>
                      <a:ext cx="5669280" cy="3470887"/>
                    </a:xfrm>
                    <a:prstGeom prst="rect"/>
                  </pic:spPr>
                </pic:pic>
              </a:graphicData>
            </a:graphic>
          </wp:inline>
        </w:drawing>
      </w:r>
    </w:p>
    <w:p>
      <w:r>
        <w:t>As prepayment speed (PSA) increases, Average Life (AL) decreases materially. At 82 PSA (+300 bps shock), AL is ~11.6 years — investors hold the bond a long time because slow prepayments extend cash flows. At 1,434 PSA (-300 bps), AL collapses to ~1.4 years as rapid refinancing returns principal quickly. The relationship is nonlinear — AL drops steeply at moderate PSA increases and flattens at very high speeds. This demonstrates the extension risk (rising rates -&gt; longer AL) and contraction risk (falling rates -&gt; shorter AL) inherent in Agency MBS.</w:t>
      </w:r>
    </w:p>
    <w:p>
      <w:pPr>
        <w:pStyle w:val="Heading2"/>
      </w:pPr>
      <w:r>
        <w:rPr>
          <w:color w:val="1D4ED8"/>
        </w:rPr>
        <w:t>Chart: PSA vs Modified Duration</w:t>
      </w:r>
    </w:p>
    <w:p>
      <w:pPr>
        <w:jc w:val="center"/>
      </w:pPr>
      <w:r>
        <w:drawing>
          <wp:inline xmlns:a="http://schemas.openxmlformats.org/drawingml/2006/main" xmlns:pic="http://schemas.openxmlformats.org/drawingml/2006/picture">
            <wp:extent cx="5669280" cy="3510747"/>
            <wp:docPr id="11" name="Picture 11"/>
            <wp:cNvGraphicFramePr>
              <a:graphicFrameLocks noChangeAspect="1"/>
            </wp:cNvGraphicFramePr>
            <a:graphic>
              <a:graphicData uri="http://schemas.openxmlformats.org/drawingml/2006/picture">
                <pic:pic>
                  <pic:nvPicPr>
                    <pic:cNvPr id="0" name="q4_psa_mod_duration.png"/>
                    <pic:cNvPicPr/>
                  </pic:nvPicPr>
                  <pic:blipFill>
                    <a:blip r:embed="rId19"/>
                    <a:stretch>
                      <a:fillRect/>
                    </a:stretch>
                  </pic:blipFill>
                  <pic:spPr>
                    <a:xfrm>
                      <a:off x="0" y="0"/>
                      <a:ext cx="5669280" cy="3510747"/>
                    </a:xfrm>
                    <a:prstGeom prst="rect"/>
                  </pic:spPr>
                </pic:pic>
              </a:graphicData>
            </a:graphic>
          </wp:inline>
        </w:drawing>
      </w:r>
    </w:p>
    <w:p>
      <w:r>
        <w:t>Modified Duration follows a similar pattern to Average Life, declining sharply as PSA increases. Duration measures price sensitivity to rate changes. At low PSA (slow prepayments), duration is high (~8 years), meaning significant price sensitivity. At high PSA (fast prepayments), duration compresses to ~1–1.5 years. Notably, all three price scenarios show similar AL values (prepayment structurally determined by rate scenario), but slightly different durations reflecting coupon cash flow differences. The negative convexity of MBS is evident: as rates fall, prepayments accelerate, capping price appreciation — hence duration compresses at precisely the moment investors might expect price gains.</w:t>
      </w:r>
    </w:p>
    <w:p>
      <w:pPr>
        <w:pStyle w:val="Heading2"/>
      </w:pPr>
      <w:r>
        <w:rPr>
          <w:color w:val="1D4ED8"/>
        </w:rPr>
        <w:t>Chart: Yield vs Interest Rate Scenario</w:t>
      </w:r>
    </w:p>
    <w:p>
      <w:pPr>
        <w:jc w:val="center"/>
      </w:pPr>
      <w:r>
        <w:drawing>
          <wp:inline xmlns:a="http://schemas.openxmlformats.org/drawingml/2006/main" xmlns:pic="http://schemas.openxmlformats.org/drawingml/2006/picture">
            <wp:extent cx="5669280" cy="3658611"/>
            <wp:docPr id="12" name="Picture 12"/>
            <wp:cNvGraphicFramePr>
              <a:graphicFrameLocks noChangeAspect="1"/>
            </wp:cNvGraphicFramePr>
            <a:graphic>
              <a:graphicData uri="http://schemas.openxmlformats.org/drawingml/2006/picture">
                <pic:pic>
                  <pic:nvPicPr>
                    <pic:cNvPr id="0" name="q4_yield_vs_scenario.png"/>
                    <pic:cNvPicPr/>
                  </pic:nvPicPr>
                  <pic:blipFill>
                    <a:blip r:embed="rId20"/>
                    <a:stretch>
                      <a:fillRect/>
                    </a:stretch>
                  </pic:blipFill>
                  <pic:spPr>
                    <a:xfrm>
                      <a:off x="0" y="0"/>
                      <a:ext cx="5669280" cy="3658611"/>
                    </a:xfrm>
                    <a:prstGeom prst="rect"/>
                  </pic:spPr>
                </pic:pic>
              </a:graphicData>
            </a:graphic>
          </wp:inline>
        </w:drawing>
      </w:r>
    </w:p>
    <w:p>
      <w:r>
        <w:t>Yield Behavior Across Rate Scenarios:</w:t>
        <w:br/>
        <w:br/>
        <w:t>Par (Price = 100): Yield is remarkably stable — it ranges only from ~3.83% to ~4.00% across all seven scenarios. This stability reflects the coupon (4%) and the fact that at-par pricing, prepayment speed variation has a limited impact on the investor's realized return.</w:t>
        <w:br/>
        <w:br/>
        <w:t>Premium (Price = 110): Yield declines sharply as rates fall and prepayments accelerate. In the most extreme scenario (-300 bps, 1,434 PSA), yield turns deeply negative (-3.17%). When a premium bond prepays early, investors lose the premium (they paid $110 but receive $100 face value back). Higher PSA = faster loss of premium = lower/negative yield. This is contraction risk — the classic curse of premium MBS buyers.</w:t>
        <w:br/>
        <w:br/>
        <w:t>Discount (Price = 90): Yield rises dramatically as rates fall and prepayments accelerate. At -300 bps (1,434 PSA), yield reaches 12.12%. Discount bond investors benefit from early prepayment because they paid $90 and receive $100 face — a capital gain realized faster. Higher PSA = faster capital gain realization = higher realized yield.</w:t>
        <w:br/>
        <w:br/>
        <w:t>Key Conclusions (Risk-Return Theory):</w:t>
        <w:br/>
        <w:t>• Premium MBS buyers bear contraction risk: they are hurt by fast prepayments.</w:t>
        <w:br/>
        <w:t>• Discount MBS buyers bear extension risk: they are hurt by slow prepayments (in rising rate environments, capital gain takes longer to realize).</w:t>
        <w:br/>
        <w:t>• Par bonds offer the most stable yield profile across prepayment scenarios.</w:t>
        <w:br/>
        <w:t>• This asymmetric payoff structure is unique to MBS and reflects negative convexity: the bond's cash flows are uncertain and depend on borrower behavior — which is correlated with interest rate movements in an unfavorable way for the investor.</w:t>
      </w:r>
    </w:p>
    <w:p>
      <w:pPr>
        <w:pStyle w:val="Heading2"/>
      </w:pPr>
      <w:r>
        <w:rPr>
          <w:color w:val="1D4ED8"/>
        </w:rPr>
        <w:t>Is 'Yield' a Good Return Measure for Agency MBS?</w:t>
      </w:r>
    </w:p>
    <w:p>
      <w:r>
        <w:t>Yield (OAS to a flat curve, or nominal yield) is NOT an ideal return measure for Agency MBS for the following reasons:</w:t>
        <w:br/>
        <w:br/>
        <w:t>1. Yield assumes a single prepayment speed: it is calculated under one PSA assumption and does not reflect the distribution of possible outcomes.</w:t>
        <w:br/>
        <w:br/>
        <w:t>2. Yield does not capture option cost: Agency MBS contains an embedded short call option (borrower's right to prepay). Yield ignores the cost of this option, understating risk.</w:t>
        <w:br/>
        <w:br/>
        <w:t>3. Realized yield ≠ quoted yield: Because prepayments actually realized will deviate from the assumed PSA, the investor's true realized return will differ — possibly substantially (as shown in the Premium case above).</w:t>
        <w:br/>
        <w:br/>
        <w:t>Better Return Measures for Agency MBS:</w:t>
        <w:br/>
        <w:t>• OAS (Option-Adjusted Spread): Strips out the embedded option value and measures spread over the risk-free curve after accounting for prepayment option cost. Most widely used professional measure.</w:t>
        <w:br/>
        <w:t>• Total Return / Scenario Analysis: Compute return under multiple rate and prepayment scenarios, weighting by probability, to capture distribution of outcomes.</w:t>
        <w:br/>
        <w:t>• Z-Spread: Better than nominal yield but still assumes a static prepayment rate.</w:t>
        <w:br/>
        <w:t>• WAL-adjusted yield: Accounts for average life uncertainty, though still single-scenario.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