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80"/>
        <w:jc w:val="center"/>
      </w:pPr>
      <w:r>
        <w:rPr>
          <w:rFonts w:ascii="Times New Roman" w:cs="Times New Roman" w:eastAsia="Times New Roman" w:hAnsi="Times New Roman"/>
          <w:color w:val="2C2C2C"/>
          <w:sz w:val="24"/>
          <w:szCs w:val="24"/>
        </w:rPr>
        <w:t xml:space="preserve">Université Hassan 1er</w:t>
      </w:r>
    </w:p>
    <w:p>
      <w:pPr>
        <w:spacing w:after="60"/>
        <w:jc w:val="center"/>
      </w:pPr>
      <w:r>
        <w:rPr>
          <w:rFonts w:ascii="Times New Roman" w:cs="Times New Roman" w:eastAsia="Times New Roman" w:hAnsi="Times New Roman"/>
          <w:b/>
          <w:bCs/>
          <w:color w:val="006633"/>
          <w:sz w:val="28"/>
          <w:szCs w:val="28"/>
        </w:rPr>
        <w:t xml:space="preserve">ÉCOLE NATIONALE DE COMMERCE ET DE GESTION DE SETTAT</w:t>
      </w:r>
    </w:p>
    <w:p>
      <w:pPr>
        <w:pBdr>
          <w:bottom w:val="single" w:color="D4A017" w:sz="6" w:space="1"/>
        </w:pBdr>
        <w:spacing w:before="180" w:after="180"/>
      </w:pPr>
    </w:p>
    <w:p>
      <w:pPr>
        <w:spacing w:after="300"/>
      </w:pPr>
      <w:r>
        <w:t xml:space="preserve"/>
      </w:r>
    </w:p>
    <w:p>
      <w:pPr>
        <w:spacing w:after="100"/>
        <w:jc w:val="center"/>
      </w:pPr>
      <w:r>
        <w:rPr>
          <w:rFonts w:ascii="Times New Roman" w:cs="Times New Roman" w:eastAsia="Times New Roman" w:hAnsi="Times New Roman"/>
          <w:b/>
          <w:bCs/>
          <w:color w:val="D4A017"/>
          <w:sz w:val="38"/>
          <w:szCs w:val="38"/>
        </w:rPr>
        <w:t xml:space="preserve">COMPTE RENDU DE PROJET</w:t>
      </w:r>
    </w:p>
    <w:p>
      <w:pPr>
        <w:spacing w:after="60"/>
        <w:jc w:val="center"/>
      </w:pPr>
      <w:r>
        <w:rPr>
          <w:rFonts w:ascii="Times New Roman" w:cs="Times New Roman" w:eastAsia="Times New Roman" w:hAnsi="Times New Roman"/>
          <w:b/>
          <w:bCs/>
          <w:color w:val="004422"/>
          <w:sz w:val="28"/>
          <w:szCs w:val="28"/>
        </w:rPr>
        <w:t xml:space="preserve">Projet N°14</w:t>
      </w:r>
    </w:p>
    <w:p>
      <w:pPr>
        <w:spacing w:after="400"/>
        <w:jc w:val="center"/>
      </w:pPr>
      <w:r>
        <w:rPr>
          <w:rFonts w:ascii="Times New Roman" w:cs="Times New Roman" w:eastAsia="Times New Roman" w:hAnsi="Times New Roman"/>
          <w:b/>
          <w:bCs/>
          <w:color w:val="006633"/>
          <w:sz w:val="26"/>
          <w:szCs w:val="26"/>
        </w:rPr>
        <w:t xml:space="preserve">Prédiction du Turnover des Auditeurs Internes par Machine Learning</w:t>
      </w:r>
    </w:p>
    <w:p>
      <w:pPr>
        <w:pBdr>
          <w:bottom w:val="single" w:color="D4A017" w:sz="6" w:space="1"/>
        </w:pBdr>
        <w:spacing w:before="180" w:after="180"/>
      </w:pPr>
    </w:p>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AACFAA" w:sz="1"/>
              <w:left w:val="single" w:color="AACFAA" w:sz="1"/>
              <w:bottom w:val="single" w:color="AACFAA" w:sz="1"/>
              <w:right w:val="single" w:color="AACFAA" w:sz="1"/>
            </w:tcBorders>
            <w:shd w:fill="E8F5E9" w:val="clear"/>
            <w:tcMar>
              <w:top w:type="dxa" w:w="80"/>
              <w:left w:type="dxa" w:w="120"/>
              <w:bottom w:type="dxa" w:w="80"/>
              <w:right w:type="dxa" w:w="120"/>
            </w:tcMar>
          </w:tcPr>
          <w:p>
            <w:r>
              <w:rPr>
                <w:rFonts w:ascii="Times New Roman" w:cs="Times New Roman" w:eastAsia="Times New Roman" w:hAnsi="Times New Roman"/>
                <w:b/>
                <w:bCs/>
                <w:color w:val="004422"/>
                <w:sz w:val="22"/>
                <w:szCs w:val="22"/>
              </w:rPr>
              <w:t xml:space="preserve">Intitulé</w:t>
            </w:r>
          </w:p>
        </w:tc>
        <w:tc>
          <w:tcPr>
            <w:tcW w:type="dxa" w:w="6026"/>
            <w:tcBorders>
              <w:top w:val="single" w:color="AACFAA" w:sz="1"/>
              <w:left w:val="single" w:color="AACFAA" w:sz="1"/>
              <w:bottom w:val="single" w:color="AACFAA" w:sz="1"/>
              <w:right w:val="single" w:color="AACFAA" w:sz="1"/>
            </w:tcBorders>
            <w:tcMar>
              <w:top w:type="dxa" w:w="80"/>
              <w:left w:type="dxa" w:w="120"/>
              <w:bottom w:type="dxa" w:w="80"/>
              <w:right w:type="dxa" w:w="120"/>
            </w:tcMar>
          </w:tcPr>
          <w:p>
            <w:r>
              <w:rPr>
                <w:rFonts w:ascii="Times New Roman" w:cs="Times New Roman" w:eastAsia="Times New Roman" w:hAnsi="Times New Roman"/>
                <w:color w:val="2C2C2C"/>
                <w:sz w:val="22"/>
                <w:szCs w:val="22"/>
              </w:rPr>
              <w:t xml:space="preserve">Prédiction du Turnover des Auditeurs Internes par ML</w:t>
            </w:r>
          </w:p>
        </w:tc>
      </w:tr>
      <w:tr>
        <w:tc>
          <w:tcPr>
            <w:tcW w:type="dxa" w:w="3000"/>
            <w:tcBorders>
              <w:top w:val="single" w:color="AACFAA" w:sz="1"/>
              <w:left w:val="single" w:color="AACFAA" w:sz="1"/>
              <w:bottom w:val="single" w:color="AACFAA" w:sz="1"/>
              <w:right w:val="single" w:color="AACFAA" w:sz="1"/>
            </w:tcBorders>
            <w:shd w:fill="E8F5E9" w:val="clear"/>
            <w:tcMar>
              <w:top w:type="dxa" w:w="80"/>
              <w:left w:type="dxa" w:w="120"/>
              <w:bottom w:type="dxa" w:w="80"/>
              <w:right w:type="dxa" w:w="120"/>
            </w:tcMar>
          </w:tcPr>
          <w:p>
            <w:r>
              <w:rPr>
                <w:rFonts w:ascii="Times New Roman" w:cs="Times New Roman" w:eastAsia="Times New Roman" w:hAnsi="Times New Roman"/>
                <w:b/>
                <w:bCs/>
                <w:color w:val="004422"/>
                <w:sz w:val="22"/>
                <w:szCs w:val="22"/>
              </w:rPr>
              <w:t xml:space="preserve">Module</w:t>
            </w:r>
          </w:p>
        </w:tc>
        <w:tc>
          <w:tcPr>
            <w:tcW w:type="dxa" w:w="6026"/>
            <w:tcBorders>
              <w:top w:val="single" w:color="AACFAA" w:sz="1"/>
              <w:left w:val="single" w:color="AACFAA" w:sz="1"/>
              <w:bottom w:val="single" w:color="AACFAA" w:sz="1"/>
              <w:right w:val="single" w:color="AACFAA" w:sz="1"/>
            </w:tcBorders>
            <w:tcMar>
              <w:top w:type="dxa" w:w="80"/>
              <w:left w:type="dxa" w:w="120"/>
              <w:bottom w:type="dxa" w:w="80"/>
              <w:right w:type="dxa" w:w="120"/>
            </w:tcMar>
          </w:tcPr>
          <w:p>
            <w:r>
              <w:rPr>
                <w:rFonts w:ascii="Times New Roman" w:cs="Times New Roman" w:eastAsia="Times New Roman" w:hAnsi="Times New Roman"/>
                <w:color w:val="2C2C2C"/>
                <w:sz w:val="22"/>
                <w:szCs w:val="22"/>
              </w:rPr>
              <w:t xml:space="preserve">Intelligence Artificielle</w:t>
            </w:r>
          </w:p>
        </w:tc>
      </w:tr>
      <w:tr>
        <w:tc>
          <w:tcPr>
            <w:tcW w:type="dxa" w:w="3000"/>
            <w:tcBorders>
              <w:top w:val="single" w:color="AACFAA" w:sz="1"/>
              <w:left w:val="single" w:color="AACFAA" w:sz="1"/>
              <w:bottom w:val="single" w:color="AACFAA" w:sz="1"/>
              <w:right w:val="single" w:color="AACFAA" w:sz="1"/>
            </w:tcBorders>
            <w:shd w:fill="E8F5E9" w:val="clear"/>
            <w:tcMar>
              <w:top w:type="dxa" w:w="80"/>
              <w:left w:type="dxa" w:w="120"/>
              <w:bottom w:type="dxa" w:w="80"/>
              <w:right w:type="dxa" w:w="120"/>
            </w:tcMar>
          </w:tcPr>
          <w:p>
            <w:r>
              <w:rPr>
                <w:rFonts w:ascii="Times New Roman" w:cs="Times New Roman" w:eastAsia="Times New Roman" w:hAnsi="Times New Roman"/>
                <w:b/>
                <w:bCs/>
                <w:color w:val="004422"/>
                <w:sz w:val="22"/>
                <w:szCs w:val="22"/>
              </w:rPr>
              <w:t xml:space="preserve">Filière / Option</w:t>
            </w:r>
          </w:p>
        </w:tc>
        <w:tc>
          <w:tcPr>
            <w:tcW w:type="dxa" w:w="6026"/>
            <w:tcBorders>
              <w:top w:val="single" w:color="AACFAA" w:sz="1"/>
              <w:left w:val="single" w:color="AACFAA" w:sz="1"/>
              <w:bottom w:val="single" w:color="AACFAA" w:sz="1"/>
              <w:right w:val="single" w:color="AACFAA" w:sz="1"/>
            </w:tcBorders>
            <w:tcMar>
              <w:top w:type="dxa" w:w="80"/>
              <w:left w:type="dxa" w:w="120"/>
              <w:bottom w:type="dxa" w:w="80"/>
              <w:right w:type="dxa" w:w="120"/>
            </w:tcMar>
          </w:tcPr>
          <w:p>
            <w:r>
              <w:rPr>
                <w:rFonts w:ascii="Times New Roman" w:cs="Times New Roman" w:eastAsia="Times New Roman" w:hAnsi="Times New Roman"/>
                <w:color w:val="2C2C2C"/>
                <w:sz w:val="22"/>
                <w:szCs w:val="22"/>
              </w:rPr>
              <w:t xml:space="preserve">CAC — Contrôle, Audit et Conseil — L3 S8</w:t>
            </w:r>
          </w:p>
        </w:tc>
      </w:tr>
      <w:tr>
        <w:tc>
          <w:tcPr>
            <w:tcW w:type="dxa" w:w="3000"/>
            <w:tcBorders>
              <w:top w:val="single" w:color="AACFAA" w:sz="1"/>
              <w:left w:val="single" w:color="AACFAA" w:sz="1"/>
              <w:bottom w:val="single" w:color="AACFAA" w:sz="1"/>
              <w:right w:val="single" w:color="AACFAA" w:sz="1"/>
            </w:tcBorders>
            <w:shd w:fill="E8F5E9" w:val="clear"/>
            <w:tcMar>
              <w:top w:type="dxa" w:w="80"/>
              <w:left w:type="dxa" w:w="120"/>
              <w:bottom w:type="dxa" w:w="80"/>
              <w:right w:type="dxa" w:w="120"/>
            </w:tcMar>
          </w:tcPr>
          <w:p>
            <w:r>
              <w:rPr>
                <w:rFonts w:ascii="Times New Roman" w:cs="Times New Roman" w:eastAsia="Times New Roman" w:hAnsi="Times New Roman"/>
                <w:b/>
                <w:bCs/>
                <w:color w:val="004422"/>
                <w:sz w:val="22"/>
                <w:szCs w:val="22"/>
              </w:rPr>
              <w:t xml:space="preserve">Réalisé par</w:t>
            </w:r>
          </w:p>
        </w:tc>
        <w:tc>
          <w:tcPr>
            <w:tcW w:type="dxa" w:w="6026"/>
            <w:tcBorders>
              <w:top w:val="single" w:color="AACFAA" w:sz="1"/>
              <w:left w:val="single" w:color="AACFAA" w:sz="1"/>
              <w:bottom w:val="single" w:color="AACFAA" w:sz="1"/>
              <w:right w:val="single" w:color="AACFAA" w:sz="1"/>
            </w:tcBorders>
            <w:tcMar>
              <w:top w:type="dxa" w:w="80"/>
              <w:left w:type="dxa" w:w="120"/>
              <w:bottom w:type="dxa" w:w="80"/>
              <w:right w:type="dxa" w:w="120"/>
            </w:tcMar>
          </w:tcPr>
          <w:p>
            <w:r>
              <w:rPr>
                <w:rFonts w:ascii="Times New Roman" w:cs="Times New Roman" w:eastAsia="Times New Roman" w:hAnsi="Times New Roman"/>
                <w:color w:val="2C2C2C"/>
                <w:sz w:val="22"/>
                <w:szCs w:val="22"/>
              </w:rPr>
              <w:t xml:space="preserve">KIHEL Hajar  /  HOUMADI Nada</w:t>
            </w:r>
          </w:p>
        </w:tc>
      </w:tr>
      <w:tr>
        <w:tc>
          <w:tcPr>
            <w:tcW w:type="dxa" w:w="3000"/>
            <w:tcBorders>
              <w:top w:val="single" w:color="AACFAA" w:sz="1"/>
              <w:left w:val="single" w:color="AACFAA" w:sz="1"/>
              <w:bottom w:val="single" w:color="AACFAA" w:sz="1"/>
              <w:right w:val="single" w:color="AACFAA" w:sz="1"/>
            </w:tcBorders>
            <w:shd w:fill="E8F5E9" w:val="clear"/>
            <w:tcMar>
              <w:top w:type="dxa" w:w="80"/>
              <w:left w:type="dxa" w:w="120"/>
              <w:bottom w:type="dxa" w:w="80"/>
              <w:right w:type="dxa" w:w="120"/>
            </w:tcMar>
          </w:tcPr>
          <w:p>
            <w:r>
              <w:rPr>
                <w:rFonts w:ascii="Times New Roman" w:cs="Times New Roman" w:eastAsia="Times New Roman" w:hAnsi="Times New Roman"/>
                <w:b/>
                <w:bCs/>
                <w:color w:val="004422"/>
                <w:sz w:val="22"/>
                <w:szCs w:val="22"/>
              </w:rPr>
              <w:t xml:space="preserve">Encadrant</w:t>
            </w:r>
          </w:p>
        </w:tc>
        <w:tc>
          <w:tcPr>
            <w:tcW w:type="dxa" w:w="6026"/>
            <w:tcBorders>
              <w:top w:val="single" w:color="AACFAA" w:sz="1"/>
              <w:left w:val="single" w:color="AACFAA" w:sz="1"/>
              <w:bottom w:val="single" w:color="AACFAA" w:sz="1"/>
              <w:right w:val="single" w:color="AACFAA" w:sz="1"/>
            </w:tcBorders>
            <w:tcMar>
              <w:top w:type="dxa" w:w="80"/>
              <w:left w:type="dxa" w:w="120"/>
              <w:bottom w:type="dxa" w:w="80"/>
              <w:right w:type="dxa" w:w="120"/>
            </w:tcMar>
          </w:tcPr>
          <w:p>
            <w:r>
              <w:rPr>
                <w:rFonts w:ascii="Times New Roman" w:cs="Times New Roman" w:eastAsia="Times New Roman" w:hAnsi="Times New Roman"/>
                <w:color w:val="2C2C2C"/>
                <w:sz w:val="22"/>
                <w:szCs w:val="22"/>
              </w:rPr>
              <w:t xml:space="preserve">[Titre + Prénom NOM]</w:t>
            </w:r>
          </w:p>
        </w:tc>
      </w:tr>
      <w:tr>
        <w:tc>
          <w:tcPr>
            <w:tcW w:type="dxa" w:w="3000"/>
            <w:tcBorders>
              <w:top w:val="single" w:color="AACFAA" w:sz="1"/>
              <w:left w:val="single" w:color="AACFAA" w:sz="1"/>
              <w:bottom w:val="single" w:color="AACFAA" w:sz="1"/>
              <w:right w:val="single" w:color="AACFAA" w:sz="1"/>
            </w:tcBorders>
            <w:shd w:fill="E8F5E9" w:val="clear"/>
            <w:tcMar>
              <w:top w:type="dxa" w:w="80"/>
              <w:left w:type="dxa" w:w="120"/>
              <w:bottom w:type="dxa" w:w="80"/>
              <w:right w:type="dxa" w:w="120"/>
            </w:tcMar>
          </w:tcPr>
          <w:p>
            <w:r>
              <w:rPr>
                <w:rFonts w:ascii="Times New Roman" w:cs="Times New Roman" w:eastAsia="Times New Roman" w:hAnsi="Times New Roman"/>
                <w:b/>
                <w:bCs/>
                <w:color w:val="004422"/>
                <w:sz w:val="22"/>
                <w:szCs w:val="22"/>
              </w:rPr>
              <w:t xml:space="preserve">Période</w:t>
            </w:r>
          </w:p>
        </w:tc>
        <w:tc>
          <w:tcPr>
            <w:tcW w:type="dxa" w:w="6026"/>
            <w:tcBorders>
              <w:top w:val="single" w:color="AACFAA" w:sz="1"/>
              <w:left w:val="single" w:color="AACFAA" w:sz="1"/>
              <w:bottom w:val="single" w:color="AACFAA" w:sz="1"/>
              <w:right w:val="single" w:color="AACFAA" w:sz="1"/>
            </w:tcBorders>
            <w:tcMar>
              <w:top w:type="dxa" w:w="80"/>
              <w:left w:type="dxa" w:w="120"/>
              <w:bottom w:type="dxa" w:w="80"/>
              <w:right w:type="dxa" w:w="120"/>
            </w:tcMar>
          </w:tcPr>
          <w:p>
            <w:r>
              <w:rPr>
                <w:rFonts w:ascii="Times New Roman" w:cs="Times New Roman" w:eastAsia="Times New Roman" w:hAnsi="Times New Roman"/>
                <w:color w:val="2C2C2C"/>
                <w:sz w:val="22"/>
                <w:szCs w:val="22"/>
              </w:rPr>
              <w:t xml:space="preserve">Année Universitaire 2025–2026</w:t>
            </w:r>
          </w:p>
        </w:tc>
      </w:tr>
      <w:tr>
        <w:tc>
          <w:tcPr>
            <w:tcW w:type="dxa" w:w="3000"/>
            <w:tcBorders>
              <w:top w:val="single" w:color="AACFAA" w:sz="1"/>
              <w:left w:val="single" w:color="AACFAA" w:sz="1"/>
              <w:bottom w:val="single" w:color="AACFAA" w:sz="1"/>
              <w:right w:val="single" w:color="AACFAA" w:sz="1"/>
            </w:tcBorders>
            <w:shd w:fill="E8F5E9" w:val="clear"/>
            <w:tcMar>
              <w:top w:type="dxa" w:w="80"/>
              <w:left w:type="dxa" w:w="120"/>
              <w:bottom w:type="dxa" w:w="80"/>
              <w:right w:type="dxa" w:w="120"/>
            </w:tcMar>
          </w:tcPr>
          <w:p>
            <w:r>
              <w:rPr>
                <w:rFonts w:ascii="Times New Roman" w:cs="Times New Roman" w:eastAsia="Times New Roman" w:hAnsi="Times New Roman"/>
                <w:b/>
                <w:bCs/>
                <w:color w:val="004422"/>
                <w:sz w:val="22"/>
                <w:szCs w:val="22"/>
              </w:rPr>
              <w:t xml:space="preserve">Date de remise</w:t>
            </w:r>
          </w:p>
        </w:tc>
        <w:tc>
          <w:tcPr>
            <w:tcW w:type="dxa" w:w="6026"/>
            <w:tcBorders>
              <w:top w:val="single" w:color="AACFAA" w:sz="1"/>
              <w:left w:val="single" w:color="AACFAA" w:sz="1"/>
              <w:bottom w:val="single" w:color="AACFAA" w:sz="1"/>
              <w:right w:val="single" w:color="AACFAA" w:sz="1"/>
            </w:tcBorders>
            <w:tcMar>
              <w:top w:type="dxa" w:w="80"/>
              <w:left w:type="dxa" w:w="120"/>
              <w:bottom w:type="dxa" w:w="80"/>
              <w:right w:type="dxa" w:w="120"/>
            </w:tcMar>
          </w:tcPr>
          <w:p>
            <w:r>
              <w:rPr>
                <w:rFonts w:ascii="Times New Roman" w:cs="Times New Roman" w:eastAsia="Times New Roman" w:hAnsi="Times New Roman"/>
                <w:color w:val="2C2C2C"/>
                <w:sz w:val="22"/>
                <w:szCs w:val="22"/>
              </w:rPr>
              <w:t xml:space="preserve">Mars 2026</w:t>
            </w:r>
          </w:p>
        </w:tc>
      </w:tr>
    </w:tbl>
    <w:p>
      <w:pPr>
        <w:spacing w:after="300"/>
      </w:pPr>
      <w:r>
        <w:t xml:space="preserve"/>
      </w:r>
    </w:p>
    <w:p>
      <w:pPr>
        <w:pBdr>
          <w:bottom w:val="single" w:color="D4A017" w:sz="6" w:space="1"/>
        </w:pBdr>
        <w:spacing w:before="180" w:after="180"/>
      </w:pPr>
    </w:p>
    <w:p>
      <w:pPr>
        <w:spacing w:after="120"/>
        <w:jc w:val="center"/>
      </w:pPr>
      <w:r>
        <w:rPr>
          <w:rFonts w:ascii="Times New Roman" w:cs="Times New Roman" w:eastAsia="Times New Roman" w:hAnsi="Times New Roman"/>
          <w:b/>
          <w:bCs/>
          <w:color w:val="2C2C2C"/>
          <w:sz w:val="22"/>
          <w:szCs w:val="22"/>
        </w:rPr>
        <w:t xml:space="preserve">Année Universitaire 2025 – 2026</w:t>
      </w:r>
    </w:p>
    <w:p>
      <w:r>
        <w:br w:type="page"/>
      </w:r>
    </w:p>
    <w:p>
      <w:pPr>
        <w:sectPr>
          <w:pgSz w:w="11906" w:h="16838" w:orient="portrait"/>
          <w:pgMar w:top="1440" w:right="1440" w:bottom="1440" w:left="1800" w:header="708" w:footer="708" w:gutter="0"/>
          <w:pgNumType/>
          <w:docGrid w:linePitch="360"/>
        </w:sectPr>
      </w:pPr>
    </w:p>
    <w:p>
      <w:pPr>
        <w:pStyle w:val="Heading1"/>
        <w:pBdr>
          <w:bottom w:val="single" w:color="D4A017" w:sz="4" w:space="2"/>
        </w:pBdr>
        <w:spacing w:before="320" w:after="180"/>
      </w:pPr>
      <w:r>
        <w:rPr>
          <w:rFonts w:ascii="Times New Roman" w:cs="Times New Roman" w:eastAsia="Times New Roman" w:hAnsi="Times New Roman"/>
          <w:b/>
          <w:bCs/>
          <w:color w:val="006633"/>
          <w:sz w:val="30"/>
          <w:szCs w:val="30"/>
        </w:rPr>
        <w:t xml:space="preserve">SOMMAIRE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826"/>
        <w:gridCol w:w="1200"/>
      </w:tblGrid>
      <w:tr>
        <w:tc>
          <w:tcPr>
            <w:tcW w:type="dxa" w:w="7826"/>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Times New Roman" w:cs="Times New Roman" w:eastAsia="Times New Roman" w:hAnsi="Times New Roman"/>
                <w:b/>
                <w:bCs/>
                <w:color w:val="D4A017"/>
                <w:sz w:val="22"/>
                <w:szCs w:val="22"/>
              </w:rPr>
              <w:t xml:space="preserve">I.  </w:t>
            </w:r>
            <w:r>
              <w:rPr>
                <w:rFonts w:ascii="Times New Roman" w:cs="Times New Roman" w:eastAsia="Times New Roman" w:hAnsi="Times New Roman"/>
                <w:color w:val="2C2C2C"/>
                <w:sz w:val="22"/>
                <w:szCs w:val="22"/>
              </w:rPr>
              <w:t xml:space="preserve">INTRODUCTION</w:t>
            </w:r>
          </w:p>
        </w:tc>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color w:val="006633"/>
                <w:sz w:val="22"/>
                <w:szCs w:val="22"/>
              </w:rPr>
              <w:t xml:space="preserve">3</w:t>
            </w:r>
          </w:p>
        </w:tc>
      </w:tr>
      <w:tr>
        <w:tc>
          <w:tcPr>
            <w:tcW w:type="dxa" w:w="7826"/>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Times New Roman" w:cs="Times New Roman" w:eastAsia="Times New Roman" w:hAnsi="Times New Roman"/>
                <w:b/>
                <w:bCs/>
                <w:color w:val="D4A017"/>
                <w:sz w:val="22"/>
                <w:szCs w:val="22"/>
              </w:rPr>
              <w:t xml:space="preserve">I.1  </w:t>
            </w:r>
            <w:r>
              <w:rPr>
                <w:rFonts w:ascii="Times New Roman" w:cs="Times New Roman" w:eastAsia="Times New Roman" w:hAnsi="Times New Roman"/>
                <w:color w:val="2C2C2C"/>
                <w:sz w:val="22"/>
                <w:szCs w:val="22"/>
              </w:rPr>
              <w:t xml:space="preserve">Contexte et problématique</w:t>
            </w:r>
          </w:p>
        </w:tc>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color w:val="006633"/>
                <w:sz w:val="22"/>
                <w:szCs w:val="22"/>
              </w:rPr>
              <w:t xml:space="preserve">3</w:t>
            </w:r>
          </w:p>
        </w:tc>
      </w:tr>
      <w:tr>
        <w:tc>
          <w:tcPr>
            <w:tcW w:type="dxa" w:w="7826"/>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Times New Roman" w:cs="Times New Roman" w:eastAsia="Times New Roman" w:hAnsi="Times New Roman"/>
                <w:b/>
                <w:bCs/>
                <w:color w:val="D4A017"/>
                <w:sz w:val="22"/>
                <w:szCs w:val="22"/>
              </w:rPr>
              <w:t xml:space="preserve">I.2  </w:t>
            </w:r>
            <w:r>
              <w:rPr>
                <w:rFonts w:ascii="Times New Roman" w:cs="Times New Roman" w:eastAsia="Times New Roman" w:hAnsi="Times New Roman"/>
                <w:color w:val="2C2C2C"/>
                <w:sz w:val="22"/>
                <w:szCs w:val="22"/>
              </w:rPr>
              <w:t xml:space="preserve">Objectifs du projet</w:t>
            </w:r>
          </w:p>
        </w:tc>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color w:val="006633"/>
                <w:sz w:val="22"/>
                <w:szCs w:val="22"/>
              </w:rPr>
              <w:t xml:space="preserve">3</w:t>
            </w:r>
          </w:p>
        </w:tc>
      </w:tr>
      <w:tr>
        <w:tc>
          <w:tcPr>
            <w:tcW w:type="dxa" w:w="7826"/>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Times New Roman" w:cs="Times New Roman" w:eastAsia="Times New Roman" w:hAnsi="Times New Roman"/>
                <w:b/>
                <w:bCs/>
                <w:color w:val="D4A017"/>
                <w:sz w:val="22"/>
                <w:szCs w:val="22"/>
              </w:rPr>
              <w:t xml:space="preserve">I.3  </w:t>
            </w:r>
            <w:r>
              <w:rPr>
                <w:rFonts w:ascii="Times New Roman" w:cs="Times New Roman" w:eastAsia="Times New Roman" w:hAnsi="Times New Roman"/>
                <w:color w:val="2C2C2C"/>
                <w:sz w:val="22"/>
                <w:szCs w:val="22"/>
              </w:rPr>
              <w:t xml:space="preserve">Méthodologie adoptée</w:t>
            </w:r>
          </w:p>
        </w:tc>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color w:val="006633"/>
                <w:sz w:val="22"/>
                <w:szCs w:val="22"/>
              </w:rPr>
              <w:t xml:space="preserve">4</w:t>
            </w:r>
          </w:p>
        </w:tc>
      </w:tr>
      <w:tr>
        <w:tc>
          <w:tcPr>
            <w:tcW w:type="dxa" w:w="7826"/>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Times New Roman" w:cs="Times New Roman" w:eastAsia="Times New Roman" w:hAnsi="Times New Roman"/>
                <w:b/>
                <w:bCs/>
                <w:color w:val="D4A017"/>
                <w:sz w:val="22"/>
                <w:szCs w:val="22"/>
              </w:rPr>
              <w:t xml:space="preserve">II.  </w:t>
            </w:r>
            <w:r>
              <w:rPr>
                <w:rFonts w:ascii="Times New Roman" w:cs="Times New Roman" w:eastAsia="Times New Roman" w:hAnsi="Times New Roman"/>
                <w:color w:val="2C2C2C"/>
                <w:sz w:val="22"/>
                <w:szCs w:val="22"/>
              </w:rPr>
              <w:t xml:space="preserve">DÉVELOPPEMENT</w:t>
            </w:r>
          </w:p>
        </w:tc>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color w:val="006633"/>
                <w:sz w:val="22"/>
                <w:szCs w:val="22"/>
              </w:rPr>
              <w:t xml:space="preserve">5</w:t>
            </w:r>
          </w:p>
        </w:tc>
      </w:tr>
      <w:tr>
        <w:tc>
          <w:tcPr>
            <w:tcW w:type="dxa" w:w="7826"/>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Times New Roman" w:cs="Times New Roman" w:eastAsia="Times New Roman" w:hAnsi="Times New Roman"/>
                <w:b/>
                <w:bCs/>
                <w:color w:val="2C2C2C"/>
                <w:sz w:val="22"/>
                <w:szCs w:val="22"/>
              </w:rPr>
              <w:t xml:space="preserve">II.1  </w:t>
            </w:r>
            <w:r>
              <w:rPr>
                <w:rFonts w:ascii="Times New Roman" w:cs="Times New Roman" w:eastAsia="Times New Roman" w:hAnsi="Times New Roman"/>
                <w:color w:val="2C2C2C"/>
                <w:sz w:val="22"/>
                <w:szCs w:val="22"/>
              </w:rPr>
              <w:t xml:space="preserve">Présentation du dataset IBM HR Analytics</w:t>
            </w:r>
          </w:p>
        </w:tc>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color w:val="006633"/>
                <w:sz w:val="22"/>
                <w:szCs w:val="22"/>
              </w:rPr>
              <w:t xml:space="preserve">5</w:t>
            </w:r>
          </w:p>
        </w:tc>
      </w:tr>
      <w:tr>
        <w:tc>
          <w:tcPr>
            <w:tcW w:type="dxa" w:w="7826"/>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Times New Roman" w:cs="Times New Roman" w:eastAsia="Times New Roman" w:hAnsi="Times New Roman"/>
                <w:b/>
                <w:bCs/>
                <w:color w:val="2C2C2C"/>
                <w:sz w:val="22"/>
                <w:szCs w:val="22"/>
              </w:rPr>
              <w:t xml:space="preserve">II.2  </w:t>
            </w:r>
            <w:r>
              <w:rPr>
                <w:rFonts w:ascii="Times New Roman" w:cs="Times New Roman" w:eastAsia="Times New Roman" w:hAnsi="Times New Roman"/>
                <w:color w:val="2C2C2C"/>
                <w:sz w:val="22"/>
                <w:szCs w:val="22"/>
              </w:rPr>
              <w:t xml:space="preserve">Exploration et Analyse des Données (EDA)</w:t>
            </w:r>
          </w:p>
        </w:tc>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color w:val="006633"/>
                <w:sz w:val="22"/>
                <w:szCs w:val="22"/>
              </w:rPr>
              <w:t xml:space="preserve">6</w:t>
            </w:r>
          </w:p>
        </w:tc>
      </w:tr>
      <w:tr>
        <w:tc>
          <w:tcPr>
            <w:tcW w:type="dxa" w:w="7826"/>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Times New Roman" w:cs="Times New Roman" w:eastAsia="Times New Roman" w:hAnsi="Times New Roman"/>
                <w:b/>
                <w:bCs/>
                <w:color w:val="2C2C2C"/>
                <w:sz w:val="22"/>
                <w:szCs w:val="22"/>
              </w:rPr>
              <w:t xml:space="preserve">II.3  </w:t>
            </w:r>
            <w:r>
              <w:rPr>
                <w:rFonts w:ascii="Times New Roman" w:cs="Times New Roman" w:eastAsia="Times New Roman" w:hAnsi="Times New Roman"/>
                <w:color w:val="2C2C2C"/>
                <w:sz w:val="22"/>
                <w:szCs w:val="22"/>
              </w:rPr>
              <w:t xml:space="preserve">Prétraitement des Données</w:t>
            </w:r>
          </w:p>
        </w:tc>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color w:val="006633"/>
                <w:sz w:val="22"/>
                <w:szCs w:val="22"/>
              </w:rPr>
              <w:t xml:space="preserve">8</w:t>
            </w:r>
          </w:p>
        </w:tc>
      </w:tr>
      <w:tr>
        <w:tc>
          <w:tcPr>
            <w:tcW w:type="dxa" w:w="7826"/>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Times New Roman" w:cs="Times New Roman" w:eastAsia="Times New Roman" w:hAnsi="Times New Roman"/>
                <w:b/>
                <w:bCs/>
                <w:color w:val="2C2C2C"/>
                <w:sz w:val="22"/>
                <w:szCs w:val="22"/>
              </w:rPr>
              <w:t xml:space="preserve">II.4  </w:t>
            </w:r>
            <w:r>
              <w:rPr>
                <w:rFonts w:ascii="Times New Roman" w:cs="Times New Roman" w:eastAsia="Times New Roman" w:hAnsi="Times New Roman"/>
                <w:color w:val="2C2C2C"/>
                <w:sz w:val="22"/>
                <w:szCs w:val="22"/>
              </w:rPr>
              <w:t xml:space="preserve">Modèles de Machine Learning testés</w:t>
            </w:r>
          </w:p>
        </w:tc>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color w:val="006633"/>
                <w:sz w:val="22"/>
                <w:szCs w:val="22"/>
              </w:rPr>
              <w:t xml:space="preserve">9</w:t>
            </w:r>
          </w:p>
        </w:tc>
      </w:tr>
      <w:tr>
        <w:tc>
          <w:tcPr>
            <w:tcW w:type="dxa" w:w="7826"/>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Times New Roman" w:cs="Times New Roman" w:eastAsia="Times New Roman" w:hAnsi="Times New Roman"/>
                <w:b/>
                <w:bCs/>
                <w:color w:val="2C2C2C"/>
                <w:sz w:val="22"/>
                <w:szCs w:val="22"/>
              </w:rPr>
              <w:t xml:space="preserve">II.5  </w:t>
            </w:r>
            <w:r>
              <w:rPr>
                <w:rFonts w:ascii="Times New Roman" w:cs="Times New Roman" w:eastAsia="Times New Roman" w:hAnsi="Times New Roman"/>
                <w:color w:val="2C2C2C"/>
                <w:sz w:val="22"/>
                <w:szCs w:val="22"/>
              </w:rPr>
              <w:t xml:space="preserve">Interprétabilité avec SHAP</w:t>
            </w:r>
          </w:p>
        </w:tc>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color w:val="006633"/>
                <w:sz w:val="22"/>
                <w:szCs w:val="22"/>
              </w:rPr>
              <w:t xml:space="preserve">11</w:t>
            </w:r>
          </w:p>
        </w:tc>
      </w:tr>
      <w:tr>
        <w:tc>
          <w:tcPr>
            <w:tcW w:type="dxa" w:w="7826"/>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Times New Roman" w:cs="Times New Roman" w:eastAsia="Times New Roman" w:hAnsi="Times New Roman"/>
                <w:b/>
                <w:bCs/>
                <w:color w:val="2C2C2C"/>
                <w:sz w:val="22"/>
                <w:szCs w:val="22"/>
              </w:rPr>
              <w:t xml:space="preserve">III.  </w:t>
            </w:r>
            <w:r>
              <w:rPr>
                <w:rFonts w:ascii="Times New Roman" w:cs="Times New Roman" w:eastAsia="Times New Roman" w:hAnsi="Times New Roman"/>
                <w:color w:val="2C2C2C"/>
                <w:sz w:val="22"/>
                <w:szCs w:val="22"/>
              </w:rPr>
              <w:t xml:space="preserve">RÉSULTATS ET DISCUSSION</w:t>
            </w:r>
          </w:p>
        </w:tc>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color w:val="006633"/>
                <w:sz w:val="22"/>
                <w:szCs w:val="22"/>
              </w:rPr>
              <w:t xml:space="preserve">12</w:t>
            </w:r>
          </w:p>
        </w:tc>
      </w:tr>
      <w:tr>
        <w:tc>
          <w:tcPr>
            <w:tcW w:type="dxa" w:w="7826"/>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Times New Roman" w:cs="Times New Roman" w:eastAsia="Times New Roman" w:hAnsi="Times New Roman"/>
                <w:b/>
                <w:bCs/>
                <w:color w:val="2C2C2C"/>
                <w:sz w:val="22"/>
                <w:szCs w:val="22"/>
              </w:rPr>
              <w:t xml:space="preserve">III.1  </w:t>
            </w:r>
            <w:r>
              <w:rPr>
                <w:rFonts w:ascii="Times New Roman" w:cs="Times New Roman" w:eastAsia="Times New Roman" w:hAnsi="Times New Roman"/>
                <w:color w:val="2C2C2C"/>
                <w:sz w:val="22"/>
                <w:szCs w:val="22"/>
              </w:rPr>
              <w:t xml:space="preserve">Tableau comparatif des performances</w:t>
            </w:r>
          </w:p>
        </w:tc>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color w:val="006633"/>
                <w:sz w:val="22"/>
                <w:szCs w:val="22"/>
              </w:rPr>
              <w:t xml:space="preserve">12</w:t>
            </w:r>
          </w:p>
        </w:tc>
      </w:tr>
      <w:tr>
        <w:tc>
          <w:tcPr>
            <w:tcW w:type="dxa" w:w="7826"/>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Times New Roman" w:cs="Times New Roman" w:eastAsia="Times New Roman" w:hAnsi="Times New Roman"/>
                <w:b/>
                <w:bCs/>
                <w:color w:val="2C2C2C"/>
                <w:sz w:val="22"/>
                <w:szCs w:val="22"/>
              </w:rPr>
              <w:t xml:space="preserve">III.2  </w:t>
            </w:r>
            <w:r>
              <w:rPr>
                <w:rFonts w:ascii="Times New Roman" w:cs="Times New Roman" w:eastAsia="Times New Roman" w:hAnsi="Times New Roman"/>
                <w:color w:val="2C2C2C"/>
                <w:sz w:val="22"/>
                <w:szCs w:val="22"/>
              </w:rPr>
              <w:t xml:space="preserve">Analyse critique et interprétation</w:t>
            </w:r>
          </w:p>
        </w:tc>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color w:val="006633"/>
                <w:sz w:val="22"/>
                <w:szCs w:val="22"/>
              </w:rPr>
              <w:t xml:space="preserve">13</w:t>
            </w:r>
          </w:p>
        </w:tc>
      </w:tr>
      <w:tr>
        <w:tc>
          <w:tcPr>
            <w:tcW w:type="dxa" w:w="7826"/>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Times New Roman" w:cs="Times New Roman" w:eastAsia="Times New Roman" w:hAnsi="Times New Roman"/>
                <w:b/>
                <w:bCs/>
                <w:color w:val="2C2C2C"/>
                <w:sz w:val="22"/>
                <w:szCs w:val="22"/>
              </w:rPr>
              <w:t xml:space="preserve">III.3  </w:t>
            </w:r>
            <w:r>
              <w:rPr>
                <w:rFonts w:ascii="Times New Roman" w:cs="Times New Roman" w:eastAsia="Times New Roman" w:hAnsi="Times New Roman"/>
                <w:color w:val="2C2C2C"/>
                <w:sz w:val="22"/>
                <w:szCs w:val="22"/>
              </w:rPr>
              <w:t xml:space="preserve">Limites et axes d'amélioration</w:t>
            </w:r>
          </w:p>
        </w:tc>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color w:val="006633"/>
                <w:sz w:val="22"/>
                <w:szCs w:val="22"/>
              </w:rPr>
              <w:t xml:space="preserve">13</w:t>
            </w:r>
          </w:p>
        </w:tc>
      </w:tr>
      <w:tr>
        <w:tc>
          <w:tcPr>
            <w:tcW w:type="dxa" w:w="7826"/>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Times New Roman" w:cs="Times New Roman" w:eastAsia="Times New Roman" w:hAnsi="Times New Roman"/>
                <w:b/>
                <w:bCs/>
                <w:color w:val="D4A017"/>
                <w:sz w:val="22"/>
                <w:szCs w:val="22"/>
              </w:rPr>
              <w:t xml:space="preserve">IV.  </w:t>
            </w:r>
            <w:r>
              <w:rPr>
                <w:rFonts w:ascii="Times New Roman" w:cs="Times New Roman" w:eastAsia="Times New Roman" w:hAnsi="Times New Roman"/>
                <w:color w:val="2C2C2C"/>
                <w:sz w:val="22"/>
                <w:szCs w:val="22"/>
              </w:rPr>
              <w:t xml:space="preserve">RECOMMANDATIONS MÉTIER</w:t>
            </w:r>
          </w:p>
        </w:tc>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color w:val="006633"/>
                <w:sz w:val="22"/>
                <w:szCs w:val="22"/>
              </w:rPr>
              <w:t xml:space="preserve">14</w:t>
            </w:r>
          </w:p>
        </w:tc>
      </w:tr>
      <w:tr>
        <w:tc>
          <w:tcPr>
            <w:tcW w:type="dxa" w:w="7826"/>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Times New Roman" w:cs="Times New Roman" w:eastAsia="Times New Roman" w:hAnsi="Times New Roman"/>
                <w:b/>
                <w:bCs/>
                <w:color w:val="D4A017"/>
                <w:sz w:val="22"/>
                <w:szCs w:val="22"/>
              </w:rPr>
              <w:t xml:space="preserve">V.  </w:t>
            </w:r>
            <w:r>
              <w:rPr>
                <w:rFonts w:ascii="Times New Roman" w:cs="Times New Roman" w:eastAsia="Times New Roman" w:hAnsi="Times New Roman"/>
                <w:color w:val="2C2C2C"/>
                <w:sz w:val="22"/>
                <w:szCs w:val="22"/>
              </w:rPr>
              <w:t xml:space="preserve">CONCLUSION</w:t>
            </w:r>
          </w:p>
        </w:tc>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color w:val="006633"/>
                <w:sz w:val="22"/>
                <w:szCs w:val="22"/>
              </w:rPr>
              <w:t xml:space="preserve">15</w:t>
            </w:r>
          </w:p>
        </w:tc>
      </w:tr>
      <w:tr>
        <w:tc>
          <w:tcPr>
            <w:tcW w:type="dxa" w:w="7826"/>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Times New Roman" w:cs="Times New Roman" w:eastAsia="Times New Roman" w:hAnsi="Times New Roman"/>
                <w:b/>
                <w:bCs/>
                <w:color w:val="2C2C2C"/>
                <w:sz w:val="22"/>
                <w:szCs w:val="22"/>
              </w:rPr>
              <w:t xml:space="preserve">  </w:t>
            </w:r>
            <w:r>
              <w:rPr>
                <w:rFonts w:ascii="Times New Roman" w:cs="Times New Roman" w:eastAsia="Times New Roman" w:hAnsi="Times New Roman"/>
                <w:color w:val="2C2C2C"/>
                <w:sz w:val="22"/>
                <w:szCs w:val="22"/>
              </w:rPr>
              <w:t xml:space="preserve">Bibliographie / Webographie</w:t>
            </w:r>
          </w:p>
        </w:tc>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color w:val="006633"/>
                <w:sz w:val="22"/>
                <w:szCs w:val="22"/>
              </w:rPr>
              <w:t xml:space="preserve">16</w:t>
            </w:r>
          </w:p>
        </w:tc>
      </w:tr>
      <w:tr>
        <w:tc>
          <w:tcPr>
            <w:tcW w:type="dxa" w:w="7826"/>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Times New Roman" w:cs="Times New Roman" w:eastAsia="Times New Roman" w:hAnsi="Times New Roman"/>
                <w:b/>
                <w:bCs/>
                <w:color w:val="2C2C2C"/>
                <w:sz w:val="22"/>
                <w:szCs w:val="22"/>
              </w:rPr>
              <w:t xml:space="preserve">  </w:t>
            </w:r>
            <w:r>
              <w:rPr>
                <w:rFonts w:ascii="Times New Roman" w:cs="Times New Roman" w:eastAsia="Times New Roman" w:hAnsi="Times New Roman"/>
                <w:color w:val="2C2C2C"/>
                <w:sz w:val="22"/>
                <w:szCs w:val="22"/>
              </w:rPr>
              <w:t xml:space="preserve">Annexes</w:t>
            </w:r>
          </w:p>
        </w:tc>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color w:val="006633"/>
                <w:sz w:val="22"/>
                <w:szCs w:val="22"/>
              </w:rPr>
              <w:t xml:space="preserve">17</w:t>
            </w:r>
          </w:p>
        </w:tc>
      </w:tr>
    </w:tbl>
    <w:p>
      <w:r>
        <w:br w:type="page"/>
      </w:r>
    </w:p>
    <w:p>
      <w:pPr>
        <w:pStyle w:val="Heading1"/>
        <w:pBdr>
          <w:bottom w:val="single" w:color="D4A017" w:sz="4" w:space="2"/>
        </w:pBdr>
        <w:spacing w:before="320" w:after="180"/>
      </w:pPr>
      <w:r>
        <w:rPr>
          <w:rFonts w:ascii="Times New Roman" w:cs="Times New Roman" w:eastAsia="Times New Roman" w:hAnsi="Times New Roman"/>
          <w:b/>
          <w:bCs/>
          <w:color w:val="D4A017"/>
          <w:sz w:val="30"/>
          <w:szCs w:val="30"/>
        </w:rPr>
        <w:t xml:space="preserve">I. </w:t>
      </w:r>
      <w:r>
        <w:rPr>
          <w:rFonts w:ascii="Times New Roman" w:cs="Times New Roman" w:eastAsia="Times New Roman" w:hAnsi="Times New Roman"/>
          <w:b/>
          <w:bCs/>
          <w:color w:val="006633"/>
          <w:sz w:val="30"/>
          <w:szCs w:val="30"/>
        </w:rPr>
        <w:t xml:space="preserve">INTRODUCTION</w:t>
      </w:r>
    </w:p>
    <w:p>
      <w:pPr>
        <w:pStyle w:val="Heading2"/>
        <w:spacing w:before="220" w:after="140"/>
      </w:pPr>
      <w:r>
        <w:rPr>
          <w:rFonts w:ascii="Times New Roman" w:cs="Times New Roman" w:eastAsia="Times New Roman" w:hAnsi="Times New Roman"/>
          <w:b/>
          <w:bCs/>
          <w:color w:val="D4A017"/>
          <w:sz w:val="26"/>
          <w:szCs w:val="26"/>
        </w:rPr>
        <w:t xml:space="preserve">I.1 </w:t>
      </w:r>
      <w:r>
        <w:rPr>
          <w:rFonts w:ascii="Times New Roman" w:cs="Times New Roman" w:eastAsia="Times New Roman" w:hAnsi="Times New Roman"/>
          <w:b/>
          <w:bCs/>
          <w:color w:val="004422"/>
          <w:sz w:val="26"/>
          <w:szCs w:val="26"/>
        </w:rPr>
        <w:t xml:space="preserve">Contexte et problématique</w:t>
      </w:r>
    </w:p>
    <w:p>
      <w:pPr>
        <w:spacing w:line="360" w:after="120"/>
        <w:ind w:firstLine="360"/>
        <w:jc w:val="both"/>
      </w:pPr>
      <w:r>
        <w:rPr>
          <w:rFonts w:ascii="Times New Roman" w:cs="Times New Roman" w:eastAsia="Times New Roman" w:hAnsi="Times New Roman"/>
          <w:color w:val="2C2C2C"/>
          <w:sz w:val="24"/>
          <w:szCs w:val="24"/>
        </w:rPr>
        <w:t xml:space="preserve">Le turnover du personnel constitue l'un des défis les plus critiques auxquels font face les organisations, en particulier dans les secteurs à forte valeur intellectuelle tels que l'audit interne et le conseil. Au Maroc, les cabinets d'audit et les directions d'audit interne des grandes entreprises sont confrontés à un taux de rotation élevé parmi leurs auditeurs, générant des coûts directs et indirects considérables.</w:t>
      </w:r>
    </w:p>
    <w:p>
      <w:pPr>
        <w:spacing w:line="360" w:after="120"/>
        <w:ind w:firstLine="360"/>
        <w:jc w:val="both"/>
      </w:pPr>
      <w:r>
        <w:rPr>
          <w:rFonts w:ascii="Times New Roman" w:cs="Times New Roman" w:eastAsia="Times New Roman" w:hAnsi="Times New Roman"/>
          <w:color w:val="2C2C2C"/>
          <w:sz w:val="24"/>
          <w:szCs w:val="24"/>
        </w:rPr>
        <w:t xml:space="preserve">Il a été estimé que le remplacement d'un auditeur peut représenter entre 50 % et 200 % de son salaire annuel, en incluant les coûts de recrutement, de formation et de montée en compétences. À ces charges financières s'ajoutent des conséquences organisationnelles non négligeables : perte de la mémoire institutionnelle, perturbation des missions en cours, dégradation de la qualité des livrables et effet de démotivation sur les équipes restantes.</w:t>
      </w:r>
    </w:p>
    <w:p>
      <w:pPr>
        <w:spacing w:line="360" w:after="120"/>
        <w:ind w:firstLine="360"/>
        <w:jc w:val="both"/>
      </w:pPr>
      <w:r>
        <w:rPr>
          <w:rFonts w:ascii="Times New Roman" w:cs="Times New Roman" w:eastAsia="Times New Roman" w:hAnsi="Times New Roman"/>
          <w:color w:val="2C2C2C"/>
          <w:sz w:val="24"/>
          <w:szCs w:val="24"/>
        </w:rPr>
        <w:t xml:space="preserve">Dans ce contexte, la capacité d'anticiper le départ d'un auditeur avant qu'il ne se produise représente un avantage stratégique majeur pour les directions des ressources humaines et les managers opérationnels. C'est précisément la problématique à laquelle ce projet entend répondre.</w:t>
      </w:r>
    </w:p>
    <w:p>
      <w:pPr>
        <w:spacing w:after="120"/>
      </w:pPr>
      <w:r>
        <w:t xml:space="preserve"/>
      </w:r>
    </w:p>
    <w:p>
      <w:pPr>
        <w:pBdr>
          <w:left w:val="single" w:color="D4A017" w:sz="4"/>
        </w:pBdr>
        <w:spacing w:line="300" w:after="100"/>
        <w:ind w:left="720"/>
        <w:jc w:val="both"/>
      </w:pPr>
      <w:r>
        <w:rPr>
          <w:rFonts w:ascii="Times New Roman" w:cs="Times New Roman" w:eastAsia="Times New Roman" w:hAnsi="Times New Roman"/>
          <w:i/>
          <w:iCs/>
          <w:color w:val="004422"/>
          <w:sz w:val="22"/>
          <w:szCs w:val="22"/>
        </w:rPr>
        <w:t xml:space="preserve">Comment prédire, à l'aide de l'Intelligence Artificielle et du Machine Learning, la probabilité qu'un auditeur interne quitte l'organisation dans les 12 mois à venir, afin de permettre une intervention préventive ciblée ?</w:t>
      </w:r>
    </w:p>
    <w:p>
      <w:pPr>
        <w:spacing w:after="120"/>
      </w:pPr>
      <w:r>
        <w:t xml:space="preserve"/>
      </w:r>
    </w:p>
    <w:p>
      <w:pPr>
        <w:pStyle w:val="Heading2"/>
        <w:spacing w:before="220" w:after="140"/>
      </w:pPr>
      <w:r>
        <w:rPr>
          <w:rFonts w:ascii="Times New Roman" w:cs="Times New Roman" w:eastAsia="Times New Roman" w:hAnsi="Times New Roman"/>
          <w:b/>
          <w:bCs/>
          <w:color w:val="D4A017"/>
          <w:sz w:val="26"/>
          <w:szCs w:val="26"/>
        </w:rPr>
        <w:t xml:space="preserve">I.2 </w:t>
      </w:r>
      <w:r>
        <w:rPr>
          <w:rFonts w:ascii="Times New Roman" w:cs="Times New Roman" w:eastAsia="Times New Roman" w:hAnsi="Times New Roman"/>
          <w:b/>
          <w:bCs/>
          <w:color w:val="004422"/>
          <w:sz w:val="26"/>
          <w:szCs w:val="26"/>
        </w:rPr>
        <w:t xml:space="preserve">Objectifs du projet</w:t>
      </w:r>
    </w:p>
    <w:p>
      <w:pPr>
        <w:spacing w:line="360" w:after="120"/>
        <w:ind w:firstLine="360"/>
        <w:jc w:val="both"/>
      </w:pPr>
      <w:r>
        <w:rPr>
          <w:rFonts w:ascii="Times New Roman" w:cs="Times New Roman" w:eastAsia="Times New Roman" w:hAnsi="Times New Roman"/>
          <w:color w:val="2C2C2C"/>
          <w:sz w:val="24"/>
          <w:szCs w:val="24"/>
        </w:rPr>
        <w:t xml:space="preserve">Ce projet poursuit trois objectifs complémentaires et articulés :</w:t>
      </w:r>
    </w:p>
    <w:p>
      <w:pPr>
        <w:pStyle w:val="ListParagraph"/>
        <w:numPr>
          <w:ilvl w:val="0"/>
          <w:numId w:val="2"/>
        </w:numPr>
        <w:spacing w:line="320" w:after="80"/>
      </w:pPr>
      <w:r>
        <w:rPr>
          <w:rFonts w:ascii="Times New Roman" w:cs="Times New Roman" w:eastAsia="Times New Roman" w:hAnsi="Times New Roman"/>
          <w:b/>
          <w:bCs/>
          <w:color w:val="D4A017"/>
          <w:sz w:val="24"/>
          <w:szCs w:val="24"/>
        </w:rPr>
        <w:t xml:space="preserve">Objectif technique : </w:t>
      </w:r>
      <w:r>
        <w:rPr>
          <w:rFonts w:ascii="Times New Roman" w:cs="Times New Roman" w:eastAsia="Times New Roman" w:hAnsi="Times New Roman"/>
          <w:color w:val="2C2C2C"/>
          <w:sz w:val="24"/>
          <w:szCs w:val="24"/>
        </w:rPr>
        <w:t xml:space="preserve">Construire un modèle prédictif capable de classifier un auditeur comme « à risque de départ » ou « stable », à partir de variables RH historiques.</w:t>
      </w:r>
    </w:p>
    <w:p>
      <w:pPr>
        <w:pStyle w:val="ListParagraph"/>
        <w:numPr>
          <w:ilvl w:val="0"/>
          <w:numId w:val="2"/>
        </w:numPr>
        <w:spacing w:line="320" w:after="80"/>
      </w:pPr>
      <w:r>
        <w:rPr>
          <w:rFonts w:ascii="Times New Roman" w:cs="Times New Roman" w:eastAsia="Times New Roman" w:hAnsi="Times New Roman"/>
          <w:b/>
          <w:bCs/>
          <w:color w:val="D4A017"/>
          <w:sz w:val="24"/>
          <w:szCs w:val="24"/>
        </w:rPr>
        <w:t xml:space="preserve">Objectif analytique : </w:t>
      </w:r>
      <w:r>
        <w:rPr>
          <w:rFonts w:ascii="Times New Roman" w:cs="Times New Roman" w:eastAsia="Times New Roman" w:hAnsi="Times New Roman"/>
          <w:color w:val="2C2C2C"/>
          <w:sz w:val="24"/>
          <w:szCs w:val="24"/>
        </w:rPr>
        <w:t xml:space="preserve">Identifier et hiérarchiser les facteurs les plus déterminants du turnover dans le contexte spécifique de l'audit interne.</w:t>
      </w:r>
    </w:p>
    <w:p>
      <w:pPr>
        <w:pStyle w:val="ListParagraph"/>
        <w:numPr>
          <w:ilvl w:val="0"/>
          <w:numId w:val="2"/>
        </w:numPr>
        <w:spacing w:line="320" w:after="80"/>
      </w:pPr>
      <w:r>
        <w:rPr>
          <w:rFonts w:ascii="Times New Roman" w:cs="Times New Roman" w:eastAsia="Times New Roman" w:hAnsi="Times New Roman"/>
          <w:b/>
          <w:bCs/>
          <w:color w:val="D4A017"/>
          <w:sz w:val="24"/>
          <w:szCs w:val="24"/>
        </w:rPr>
        <w:t xml:space="preserve">Objectif métier : </w:t>
      </w:r>
      <w:r>
        <w:rPr>
          <w:rFonts w:ascii="Times New Roman" w:cs="Times New Roman" w:eastAsia="Times New Roman" w:hAnsi="Times New Roman"/>
          <w:color w:val="2C2C2C"/>
          <w:sz w:val="24"/>
          <w:szCs w:val="24"/>
        </w:rPr>
        <w:t xml:space="preserve">Formuler des recommandations concrètes et actionnables à destination des cabinets d'audit et directions des ressources humaines marocains.</w:t>
      </w:r>
    </w:p>
    <w:p>
      <w:pPr>
        <w:spacing w:after="120"/>
      </w:pPr>
      <w:r>
        <w:t xml:space="preserve"/>
      </w:r>
    </w:p>
    <w:p>
      <w:pPr>
        <w:pStyle w:val="Heading2"/>
        <w:spacing w:before="220" w:after="140"/>
      </w:pPr>
      <w:r>
        <w:rPr>
          <w:rFonts w:ascii="Times New Roman" w:cs="Times New Roman" w:eastAsia="Times New Roman" w:hAnsi="Times New Roman"/>
          <w:b/>
          <w:bCs/>
          <w:color w:val="D4A017"/>
          <w:sz w:val="26"/>
          <w:szCs w:val="26"/>
        </w:rPr>
        <w:t xml:space="preserve">I.3 </w:t>
      </w:r>
      <w:r>
        <w:rPr>
          <w:rFonts w:ascii="Times New Roman" w:cs="Times New Roman" w:eastAsia="Times New Roman" w:hAnsi="Times New Roman"/>
          <w:b/>
          <w:bCs/>
          <w:color w:val="004422"/>
          <w:sz w:val="26"/>
          <w:szCs w:val="26"/>
        </w:rPr>
        <w:t xml:space="preserve">Méthodologie adoptée</w:t>
      </w:r>
    </w:p>
    <w:p>
      <w:pPr>
        <w:spacing w:line="360" w:after="120"/>
        <w:ind w:firstLine="360"/>
        <w:jc w:val="both"/>
      </w:pPr>
      <w:r>
        <w:rPr>
          <w:rFonts w:ascii="Times New Roman" w:cs="Times New Roman" w:eastAsia="Times New Roman" w:hAnsi="Times New Roman"/>
          <w:color w:val="2C2C2C"/>
          <w:sz w:val="24"/>
          <w:szCs w:val="24"/>
        </w:rPr>
        <w:t xml:space="preserve">L'approche traditionnelle fondée sur des indicateurs RH simples (taux d'absentéisme, résultats d'entretiens annuels) ne permet pas de capter la complexité des interactions entre les multiples facteurs explicatifs du turnover. Le Machine Learning, en revanche, est capable d'apprendre des patterns complexes et non linéaires à partir de données historiques pour produire des prédictions individualisées et actionnables.</w:t>
      </w:r>
    </w:p>
    <w:p>
      <w:pPr>
        <w:spacing w:line="360" w:after="120"/>
        <w:ind w:firstLine="360"/>
        <w:jc w:val="both"/>
      </w:pPr>
      <w:r>
        <w:rPr>
          <w:rFonts w:ascii="Times New Roman" w:cs="Times New Roman" w:eastAsia="Times New Roman" w:hAnsi="Times New Roman"/>
          <w:color w:val="2C2C2C"/>
          <w:sz w:val="24"/>
          <w:szCs w:val="24"/>
        </w:rPr>
        <w:t xml:space="preserve">La démarche méthodologique retenue s'articule en six étapes successives :</w:t>
      </w:r>
    </w:p>
    <w:p>
      <w:pPr>
        <w:pStyle w:val="ListParagraph"/>
        <w:numPr>
          <w:ilvl w:val="0"/>
          <w:numId w:val="2"/>
        </w:numPr>
        <w:spacing w:line="320" w:after="80"/>
      </w:pPr>
      <w:r>
        <w:rPr>
          <w:rFonts w:ascii="Times New Roman" w:cs="Times New Roman" w:eastAsia="Times New Roman" w:hAnsi="Times New Roman"/>
          <w:color w:val="2C2C2C"/>
          <w:sz w:val="24"/>
          <w:szCs w:val="24"/>
        </w:rPr>
        <w:t xml:space="preserve">Collecte et présentation du dataset (IBM HR Analytics Employee Attrition Dataset — Kaggle).</w:t>
      </w:r>
    </w:p>
    <w:p>
      <w:pPr>
        <w:pStyle w:val="ListParagraph"/>
        <w:numPr>
          <w:ilvl w:val="0"/>
          <w:numId w:val="2"/>
        </w:numPr>
        <w:spacing w:line="320" w:after="80"/>
      </w:pPr>
      <w:r>
        <w:rPr>
          <w:rFonts w:ascii="Times New Roman" w:cs="Times New Roman" w:eastAsia="Times New Roman" w:hAnsi="Times New Roman"/>
          <w:color w:val="2C2C2C"/>
          <w:sz w:val="24"/>
          <w:szCs w:val="24"/>
        </w:rPr>
        <w:t xml:space="preserve">Exploration et Analyse des Données (EDA) : distributions, corrélations, détection d'anomalies.</w:t>
      </w:r>
    </w:p>
    <w:p>
      <w:pPr>
        <w:pStyle w:val="ListParagraph"/>
        <w:numPr>
          <w:ilvl w:val="0"/>
          <w:numId w:val="2"/>
        </w:numPr>
        <w:spacing w:line="320" w:after="80"/>
      </w:pPr>
      <w:r>
        <w:rPr>
          <w:rFonts w:ascii="Times New Roman" w:cs="Times New Roman" w:eastAsia="Times New Roman" w:hAnsi="Times New Roman"/>
          <w:color w:val="2C2C2C"/>
          <w:sz w:val="24"/>
          <w:szCs w:val="24"/>
        </w:rPr>
        <w:t xml:space="preserve">Prétraitement : nettoyage, encodage, rééquilibrage des classes par SMOTE, normalisation.</w:t>
      </w:r>
    </w:p>
    <w:p>
      <w:pPr>
        <w:pStyle w:val="ListParagraph"/>
        <w:numPr>
          <w:ilvl w:val="0"/>
          <w:numId w:val="2"/>
        </w:numPr>
        <w:spacing w:line="320" w:after="80"/>
      </w:pPr>
      <w:r>
        <w:rPr>
          <w:rFonts w:ascii="Times New Roman" w:cs="Times New Roman" w:eastAsia="Times New Roman" w:hAnsi="Times New Roman"/>
          <w:color w:val="2C2C2C"/>
          <w:sz w:val="24"/>
          <w:szCs w:val="24"/>
        </w:rPr>
        <w:t xml:space="preserve">Modélisation comparative : entraînement de cinq algorithmes de classification avec validation croisée.</w:t>
      </w:r>
    </w:p>
    <w:p>
      <w:pPr>
        <w:pStyle w:val="ListParagraph"/>
        <w:numPr>
          <w:ilvl w:val="0"/>
          <w:numId w:val="2"/>
        </w:numPr>
        <w:spacing w:line="320" w:after="80"/>
      </w:pPr>
      <w:r>
        <w:rPr>
          <w:rFonts w:ascii="Times New Roman" w:cs="Times New Roman" w:eastAsia="Times New Roman" w:hAnsi="Times New Roman"/>
          <w:color w:val="2C2C2C"/>
          <w:sz w:val="24"/>
          <w:szCs w:val="24"/>
        </w:rPr>
        <w:t xml:space="preserve">Évaluation des performances : AUC-ROC, F1-Score, Recall, matrices de confusion, courbes ROC.</w:t>
      </w:r>
    </w:p>
    <w:p>
      <w:pPr>
        <w:pStyle w:val="ListParagraph"/>
        <w:numPr>
          <w:ilvl w:val="0"/>
          <w:numId w:val="2"/>
        </w:numPr>
        <w:spacing w:line="320" w:after="80"/>
      </w:pPr>
      <w:r>
        <w:rPr>
          <w:rFonts w:ascii="Times New Roman" w:cs="Times New Roman" w:eastAsia="Times New Roman" w:hAnsi="Times New Roman"/>
          <w:color w:val="2C2C2C"/>
          <w:sz w:val="24"/>
          <w:szCs w:val="24"/>
        </w:rPr>
        <w:t xml:space="preserve">Interprétabilité des prédictions via les valeurs SHAP, et formulation de recommandations métier.</w:t>
      </w:r>
    </w:p>
    <w:p>
      <w:r>
        <w:br w:type="page"/>
      </w:r>
    </w:p>
    <w:p>
      <w:pPr>
        <w:pStyle w:val="Heading1"/>
        <w:pBdr>
          <w:bottom w:val="single" w:color="D4A017" w:sz="4" w:space="2"/>
        </w:pBdr>
        <w:spacing w:before="320" w:after="180"/>
      </w:pPr>
      <w:r>
        <w:rPr>
          <w:rFonts w:ascii="Times New Roman" w:cs="Times New Roman" w:eastAsia="Times New Roman" w:hAnsi="Times New Roman"/>
          <w:b/>
          <w:bCs/>
          <w:color w:val="D4A017"/>
          <w:sz w:val="30"/>
          <w:szCs w:val="30"/>
        </w:rPr>
        <w:t xml:space="preserve">II. </w:t>
      </w:r>
      <w:r>
        <w:rPr>
          <w:rFonts w:ascii="Times New Roman" w:cs="Times New Roman" w:eastAsia="Times New Roman" w:hAnsi="Times New Roman"/>
          <w:b/>
          <w:bCs/>
          <w:color w:val="006633"/>
          <w:sz w:val="30"/>
          <w:szCs w:val="30"/>
        </w:rPr>
        <w:t xml:space="preserve">DÉVELOPPEMENT</w:t>
      </w:r>
    </w:p>
    <w:p>
      <w:pPr>
        <w:pStyle w:val="Heading2"/>
        <w:spacing w:before="220" w:after="140"/>
      </w:pPr>
      <w:r>
        <w:rPr>
          <w:rFonts w:ascii="Times New Roman" w:cs="Times New Roman" w:eastAsia="Times New Roman" w:hAnsi="Times New Roman"/>
          <w:b/>
          <w:bCs/>
          <w:color w:val="D4A017"/>
          <w:sz w:val="26"/>
          <w:szCs w:val="26"/>
        </w:rPr>
        <w:t xml:space="preserve">II.1 </w:t>
      </w:r>
      <w:r>
        <w:rPr>
          <w:rFonts w:ascii="Times New Roman" w:cs="Times New Roman" w:eastAsia="Times New Roman" w:hAnsi="Times New Roman"/>
          <w:b/>
          <w:bCs/>
          <w:color w:val="004422"/>
          <w:sz w:val="26"/>
          <w:szCs w:val="26"/>
        </w:rPr>
        <w:t xml:space="preserve">Présentation du dataset IBM HR Analytics</w:t>
      </w:r>
    </w:p>
    <w:p>
      <w:pPr>
        <w:spacing w:before="160" w:after="100"/>
      </w:pPr>
      <w:r>
        <w:rPr>
          <w:rFonts w:ascii="Times New Roman" w:cs="Times New Roman" w:eastAsia="Times New Roman" w:hAnsi="Times New Roman"/>
          <w:b/>
          <w:bCs/>
          <w:color w:val="004422"/>
          <w:sz w:val="24"/>
          <w:szCs w:val="24"/>
          <w:u w:val="single" w:color="D4A017"/>
        </w:rPr>
        <w:t xml:space="preserve">Source et caractéristiques générales</w:t>
      </w:r>
    </w:p>
    <w:p>
      <w:pPr>
        <w:spacing w:line="360" w:after="120"/>
        <w:ind w:firstLine="360"/>
        <w:jc w:val="both"/>
      </w:pPr>
      <w:r>
        <w:rPr>
          <w:rFonts w:ascii="Times New Roman" w:cs="Times New Roman" w:eastAsia="Times New Roman" w:hAnsi="Times New Roman"/>
          <w:color w:val="2C2C2C"/>
          <w:sz w:val="24"/>
          <w:szCs w:val="24"/>
        </w:rPr>
        <w:t xml:space="preserve">Le projet s'appuie sur l'IBM HR Analytics Employee Attrition &amp; Performance Dataset, disponible publiquement sur la plateforme Kaggle. Il s'agit d'un jeu de données de référence dans le domaine du People Analytics, fréquemment utilisé dans la littérature académique et les compétitions data science.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AACFAA" w:sz="1"/>
              <w:left w:val="single" w:color="AACFAA" w:sz="1"/>
              <w:bottom w:val="single" w:color="AACFAA" w:sz="1"/>
              <w:right w:val="single" w:color="AACFAA" w:sz="1"/>
            </w:tcBorders>
            <w:shd w:fill="00663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Caractéristique</w:t>
            </w:r>
          </w:p>
        </w:tc>
        <w:tc>
          <w:tcPr>
            <w:tcW w:type="dxa" w:w="5526"/>
            <w:tcBorders>
              <w:top w:val="single" w:color="AACFAA" w:sz="1"/>
              <w:left w:val="single" w:color="AACFAA" w:sz="1"/>
              <w:bottom w:val="single" w:color="AACFAA" w:sz="1"/>
              <w:right w:val="single" w:color="AACFAA" w:sz="1"/>
            </w:tcBorders>
            <w:shd w:fill="00663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Valeur</w:t>
            </w:r>
          </w:p>
        </w:tc>
      </w:tr>
      <w:tr>
        <w:tc>
          <w:tcPr>
            <w:tcW w:type="dxa" w:w="35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Nombre d'observations</w:t>
            </w:r>
          </w:p>
        </w:tc>
        <w:tc>
          <w:tcPr>
            <w:tcW w:type="dxa" w:w="5526"/>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1 470 employés</w:t>
            </w:r>
          </w:p>
        </w:tc>
      </w:tr>
      <w:tr>
        <w:tc>
          <w:tcPr>
            <w:tcW w:type="dxa" w:w="35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Nombre de variables</w:t>
            </w:r>
          </w:p>
        </w:tc>
        <w:tc>
          <w:tcPr>
            <w:tcW w:type="dxa" w:w="5526"/>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35 colonnes</w:t>
            </w:r>
          </w:p>
        </w:tc>
      </w:tr>
      <w:tr>
        <w:tc>
          <w:tcPr>
            <w:tcW w:type="dxa" w:w="35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Type de tâche</w:t>
            </w:r>
          </w:p>
        </w:tc>
        <w:tc>
          <w:tcPr>
            <w:tcW w:type="dxa" w:w="5526"/>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Classification binaire supervisée</w:t>
            </w:r>
          </w:p>
        </w:tc>
      </w:tr>
      <w:tr>
        <w:tc>
          <w:tcPr>
            <w:tcW w:type="dxa" w:w="35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Variable cible</w:t>
            </w:r>
          </w:p>
        </w:tc>
        <w:tc>
          <w:tcPr>
            <w:tcW w:type="dxa" w:w="5526"/>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Attrition (Yes = départ / No = reste)</w:t>
            </w:r>
          </w:p>
        </w:tc>
      </w:tr>
      <w:tr>
        <w:tc>
          <w:tcPr>
            <w:tcW w:type="dxa" w:w="35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Valeurs manquantes</w:t>
            </w:r>
          </w:p>
        </w:tc>
        <w:tc>
          <w:tcPr>
            <w:tcW w:type="dxa" w:w="5526"/>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Aucune</w:t>
            </w:r>
          </w:p>
        </w:tc>
      </w:tr>
    </w:tbl>
    <w:p>
      <w:pPr>
        <w:spacing w:before="60" w:after="180"/>
        <w:jc w:val="center"/>
      </w:pPr>
      <w:r>
        <w:rPr>
          <w:rFonts w:ascii="Times New Roman" w:cs="Times New Roman" w:eastAsia="Times New Roman" w:hAnsi="Times New Roman"/>
          <w:i/>
          <w:iCs/>
          <w:color w:val="666666"/>
          <w:sz w:val="20"/>
          <w:szCs w:val="20"/>
        </w:rPr>
        <w:t xml:space="preserve">Tableau 1 : Caractéristiques générales du dataset IBM HR Analytics</w:t>
      </w:r>
    </w:p>
    <w:p>
      <w:pPr>
        <w:spacing w:after="120"/>
      </w:pPr>
      <w:r>
        <w:t xml:space="preserve"/>
      </w:r>
    </w:p>
    <w:p>
      <w:pPr>
        <w:spacing w:before="160" w:after="100"/>
      </w:pPr>
      <w:r>
        <w:rPr>
          <w:rFonts w:ascii="Times New Roman" w:cs="Times New Roman" w:eastAsia="Times New Roman" w:hAnsi="Times New Roman"/>
          <w:b/>
          <w:bCs/>
          <w:color w:val="004422"/>
          <w:sz w:val="24"/>
          <w:szCs w:val="24"/>
          <w:u w:val="single" w:color="D4A017"/>
        </w:rPr>
        <w:t xml:space="preserve">Distribution de la variable cible</w:t>
      </w:r>
    </w:p>
    <w:p>
      <w:pPr>
        <w:spacing w:line="360" w:after="120"/>
        <w:ind w:firstLine="360"/>
        <w:jc w:val="both"/>
      </w:pPr>
      <w:r>
        <w:rPr>
          <w:rFonts w:ascii="Times New Roman" w:cs="Times New Roman" w:eastAsia="Times New Roman" w:hAnsi="Times New Roman"/>
          <w:color w:val="2C2C2C"/>
          <w:sz w:val="24"/>
          <w:szCs w:val="24"/>
        </w:rPr>
        <w:t xml:space="preserve">La variable cible Attrition présente un déséquilibre de classes significatif, représentatif de la réalité terrain mais constituant un défi technique important qui a nécessité une stratégie de rééquilibrage.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rPr>
          <w:tblHeader/>
        </w:trPr>
        <w:tc>
          <w:tcPr>
            <w:tcW w:type="dxa" w:w="2500"/>
            <w:tcBorders>
              <w:top w:val="single" w:color="AACFAA" w:sz="1"/>
              <w:left w:val="single" w:color="AACFAA" w:sz="1"/>
              <w:bottom w:val="single" w:color="AACFAA" w:sz="1"/>
              <w:right w:val="single" w:color="AACFAA" w:sz="1"/>
            </w:tcBorders>
            <w:shd w:fill="D4A01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Classe</w:t>
            </w:r>
          </w:p>
        </w:tc>
        <w:tc>
          <w:tcPr>
            <w:tcW w:type="dxa" w:w="3263"/>
            <w:tcBorders>
              <w:top w:val="single" w:color="AACFAA" w:sz="1"/>
              <w:left w:val="single" w:color="AACFAA" w:sz="1"/>
              <w:bottom w:val="single" w:color="AACFAA" w:sz="1"/>
              <w:right w:val="single" w:color="AACFAA" w:sz="1"/>
            </w:tcBorders>
            <w:shd w:fill="D4A01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Effectif</w:t>
            </w:r>
          </w:p>
        </w:tc>
        <w:tc>
          <w:tcPr>
            <w:tcW w:type="dxa" w:w="3263"/>
            <w:tcBorders>
              <w:top w:val="single" w:color="AACFAA" w:sz="1"/>
              <w:left w:val="single" w:color="AACFAA" w:sz="1"/>
              <w:bottom w:val="single" w:color="AACFAA" w:sz="1"/>
              <w:right w:val="single" w:color="AACFAA" w:sz="1"/>
            </w:tcBorders>
            <w:shd w:fill="D4A01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Proportion</w:t>
            </w:r>
          </w:p>
        </w:tc>
      </w:tr>
      <w:tr>
        <w:tc>
          <w:tcPr>
            <w:tcW w:type="dxa" w:w="25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Non — Reste (0)</w:t>
            </w:r>
          </w:p>
        </w:tc>
        <w:tc>
          <w:tcPr>
            <w:tcW w:type="dxa" w:w="3263"/>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~1 233</w:t>
            </w:r>
          </w:p>
        </w:tc>
        <w:tc>
          <w:tcPr>
            <w:tcW w:type="dxa" w:w="3263"/>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83,9 %</w:t>
            </w:r>
          </w:p>
        </w:tc>
      </w:tr>
      <w:tr>
        <w:tc>
          <w:tcPr>
            <w:tcW w:type="dxa" w:w="25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Oui — Départ (1)</w:t>
            </w:r>
          </w:p>
        </w:tc>
        <w:tc>
          <w:tcPr>
            <w:tcW w:type="dxa" w:w="3263"/>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~237</w:t>
            </w:r>
          </w:p>
        </w:tc>
        <w:tc>
          <w:tcPr>
            <w:tcW w:type="dxa" w:w="3263"/>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16,1 %</w:t>
            </w:r>
          </w:p>
        </w:tc>
      </w:tr>
    </w:tbl>
    <w:p>
      <w:pPr>
        <w:spacing w:before="60" w:after="180"/>
        <w:jc w:val="center"/>
      </w:pPr>
      <w:r>
        <w:rPr>
          <w:rFonts w:ascii="Times New Roman" w:cs="Times New Roman" w:eastAsia="Times New Roman" w:hAnsi="Times New Roman"/>
          <w:i/>
          <w:iCs/>
          <w:color w:val="666666"/>
          <w:sz w:val="20"/>
          <w:szCs w:val="20"/>
        </w:rPr>
        <w:t xml:space="preserve">Tableau 2 : Distribution de la variable cible Attrition</w:t>
      </w:r>
    </w:p>
    <w:p>
      <w:pPr>
        <w:spacing w:after="120"/>
      </w:pPr>
      <w:r>
        <w:t xml:space="preserve"/>
      </w:r>
    </w:p>
    <w:p>
      <w:pPr>
        <w:spacing w:before="160" w:after="100"/>
      </w:pPr>
      <w:r>
        <w:rPr>
          <w:rFonts w:ascii="Times New Roman" w:cs="Times New Roman" w:eastAsia="Times New Roman" w:hAnsi="Times New Roman"/>
          <w:b/>
          <w:bCs/>
          <w:color w:val="004422"/>
          <w:sz w:val="24"/>
          <w:szCs w:val="24"/>
          <w:u w:val="single" w:color="D4A017"/>
        </w:rPr>
        <w:t xml:space="preserve">Variables clés retenues</w:t>
      </w:r>
    </w:p>
    <w:p>
      <w:pPr>
        <w:spacing w:line="360" w:after="120"/>
        <w:ind w:firstLine="360"/>
        <w:jc w:val="both"/>
      </w:pPr>
      <w:r>
        <w:rPr>
          <w:rFonts w:ascii="Times New Roman" w:cs="Times New Roman" w:eastAsia="Times New Roman" w:hAnsi="Times New Roman"/>
          <w:color w:val="2C2C2C"/>
          <w:sz w:val="24"/>
          <w:szCs w:val="24"/>
        </w:rPr>
        <w:t xml:space="preserve">Les 35 variables du dataset se répartissent en trois grandes catégories fonctionnelles :</w:t>
      </w:r>
    </w:p>
    <w:p>
      <w:pPr>
        <w:pStyle w:val="ListParagraph"/>
        <w:numPr>
          <w:ilvl w:val="0"/>
          <w:numId w:val="2"/>
        </w:numPr>
        <w:spacing w:line="320" w:after="80"/>
      </w:pPr>
      <w:r>
        <w:rPr>
          <w:rFonts w:ascii="Times New Roman" w:cs="Times New Roman" w:eastAsia="Times New Roman" w:hAnsi="Times New Roman"/>
          <w:b/>
          <w:bCs/>
          <w:color w:val="D4A017"/>
          <w:sz w:val="24"/>
          <w:szCs w:val="24"/>
        </w:rPr>
        <w:t xml:space="preserve">Variables démographiques : </w:t>
      </w:r>
      <w:r>
        <w:rPr>
          <w:rFonts w:ascii="Times New Roman" w:cs="Times New Roman" w:eastAsia="Times New Roman" w:hAnsi="Times New Roman"/>
          <w:color w:val="2C2C2C"/>
          <w:sz w:val="24"/>
          <w:szCs w:val="24"/>
        </w:rPr>
        <w:t xml:space="preserve">Âge, Genre, Situation matrimoniale, Distance domicile-travail.</w:t>
      </w:r>
    </w:p>
    <w:p>
      <w:pPr>
        <w:pStyle w:val="ListParagraph"/>
        <w:numPr>
          <w:ilvl w:val="0"/>
          <w:numId w:val="2"/>
        </w:numPr>
        <w:spacing w:line="320" w:after="80"/>
      </w:pPr>
      <w:r>
        <w:rPr>
          <w:rFonts w:ascii="Times New Roman" w:cs="Times New Roman" w:eastAsia="Times New Roman" w:hAnsi="Times New Roman"/>
          <w:b/>
          <w:bCs/>
          <w:color w:val="D4A017"/>
          <w:sz w:val="24"/>
          <w:szCs w:val="24"/>
        </w:rPr>
        <w:t xml:space="preserve">Variables professionnelles : </w:t>
      </w:r>
      <w:r>
        <w:rPr>
          <w:rFonts w:ascii="Times New Roman" w:cs="Times New Roman" w:eastAsia="Times New Roman" w:hAnsi="Times New Roman"/>
          <w:color w:val="2C2C2C"/>
          <w:sz w:val="24"/>
          <w:szCs w:val="24"/>
        </w:rPr>
        <w:t xml:space="preserve">Fonction, Niveau hiérarchique, Département, Ancienneté, Expérience totale, Nombre d'employeurs précédents, Fréquence des déplacements.</w:t>
      </w:r>
    </w:p>
    <w:p>
      <w:pPr>
        <w:pStyle w:val="ListParagraph"/>
        <w:numPr>
          <w:ilvl w:val="0"/>
          <w:numId w:val="2"/>
        </w:numPr>
        <w:spacing w:line="320" w:after="80"/>
      </w:pPr>
      <w:r>
        <w:rPr>
          <w:rFonts w:ascii="Times New Roman" w:cs="Times New Roman" w:eastAsia="Times New Roman" w:hAnsi="Times New Roman"/>
          <w:b/>
          <w:bCs/>
          <w:color w:val="D4A017"/>
          <w:sz w:val="24"/>
          <w:szCs w:val="24"/>
        </w:rPr>
        <w:t xml:space="preserve">Variables de satisfaction et rémunération : </w:t>
      </w:r>
      <w:r>
        <w:rPr>
          <w:rFonts w:ascii="Times New Roman" w:cs="Times New Roman" w:eastAsia="Times New Roman" w:hAnsi="Times New Roman"/>
          <w:color w:val="2C2C2C"/>
          <w:sz w:val="24"/>
          <w:szCs w:val="24"/>
        </w:rPr>
        <w:t xml:space="preserve">Salaire mensuel, Satisfaction au travail (1–4), Équilibre vie pro/perso (1–4), Heures supplémentaires (OverTime), Augmentation salariale, Options sur actions, Formations dans l'année.</w:t>
      </w:r>
    </w:p>
    <w:p>
      <w:pPr>
        <w:spacing w:after="120"/>
      </w:pPr>
      <w:r>
        <w:t xml:space="preserve"/>
      </w:r>
    </w:p>
    <w:p>
      <w:pPr>
        <w:pStyle w:val="Heading2"/>
        <w:spacing w:before="220" w:after="140"/>
      </w:pPr>
      <w:r>
        <w:rPr>
          <w:rFonts w:ascii="Times New Roman" w:cs="Times New Roman" w:eastAsia="Times New Roman" w:hAnsi="Times New Roman"/>
          <w:b/>
          <w:bCs/>
          <w:color w:val="D4A017"/>
          <w:sz w:val="26"/>
          <w:szCs w:val="26"/>
        </w:rPr>
        <w:t xml:space="preserve">II.2 </w:t>
      </w:r>
      <w:r>
        <w:rPr>
          <w:rFonts w:ascii="Times New Roman" w:cs="Times New Roman" w:eastAsia="Times New Roman" w:hAnsi="Times New Roman"/>
          <w:b/>
          <w:bCs/>
          <w:color w:val="004422"/>
          <w:sz w:val="26"/>
          <w:szCs w:val="26"/>
        </w:rPr>
        <w:t xml:space="preserve">Exploration et Analyse des Données (EDA)</w:t>
      </w:r>
    </w:p>
    <w:p>
      <w:pPr>
        <w:spacing w:before="160" w:after="100"/>
      </w:pPr>
      <w:r>
        <w:rPr>
          <w:rFonts w:ascii="Times New Roman" w:cs="Times New Roman" w:eastAsia="Times New Roman" w:hAnsi="Times New Roman"/>
          <w:b/>
          <w:bCs/>
          <w:color w:val="004422"/>
          <w:sz w:val="24"/>
          <w:szCs w:val="24"/>
          <w:u w:val="single" w:color="D4A017"/>
        </w:rPr>
        <w:t xml:space="preserve">Qualité des données</w:t>
      </w:r>
    </w:p>
    <w:p>
      <w:pPr>
        <w:spacing w:line="360" w:after="120"/>
        <w:ind w:firstLine="360"/>
        <w:jc w:val="both"/>
      </w:pPr>
      <w:r>
        <w:rPr>
          <w:rFonts w:ascii="Times New Roman" w:cs="Times New Roman" w:eastAsia="Times New Roman" w:hAnsi="Times New Roman"/>
          <w:color w:val="2C2C2C"/>
          <w:sz w:val="24"/>
          <w:szCs w:val="24"/>
        </w:rPr>
        <w:t xml:space="preserve">L'exploration initiale a confirmé l'excellente qualité du dataset : aucune valeur manquante n'a été détectée sur l'ensemble des 35 variables, aucun doublon n'a été identifié. Quatre colonnes à variance nulle ont été repérées et éliminées lors du prétraitement : EmployeeCount, Over18, StandardHours et EmployeeNumber.</w:t>
      </w:r>
    </w:p>
    <w:p>
      <w:pPr>
        <w:spacing w:after="80"/>
      </w:pPr>
      <w:r>
        <w:t xml:space="preserve"/>
      </w:r>
    </w:p>
    <w:p>
      <w:pPr>
        <w:spacing w:before="160" w:after="100"/>
      </w:pPr>
      <w:r>
        <w:rPr>
          <w:rFonts w:ascii="Times New Roman" w:cs="Times New Roman" w:eastAsia="Times New Roman" w:hAnsi="Times New Roman"/>
          <w:b/>
          <w:bCs/>
          <w:color w:val="004422"/>
          <w:sz w:val="24"/>
          <w:szCs w:val="24"/>
          <w:u w:val="single" w:color="D4A017"/>
        </w:rPr>
        <w:t xml:space="preserve">Analyse univariée — Variables numériques</w:t>
      </w:r>
    </w:p>
    <w:p>
      <w:pPr>
        <w:spacing w:line="360" w:after="120"/>
        <w:ind w:firstLine="360"/>
        <w:jc w:val="both"/>
      </w:pPr>
      <w:r>
        <w:rPr>
          <w:rFonts w:ascii="Times New Roman" w:cs="Times New Roman" w:eastAsia="Times New Roman" w:hAnsi="Times New Roman"/>
          <w:color w:val="2C2C2C"/>
          <w:sz w:val="24"/>
          <w:szCs w:val="24"/>
        </w:rPr>
        <w:t xml:space="preserve">Les boxplots stratifiés par la variable Attrition ont permis de dégager les tendances suivantes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AACFAA" w:sz="1"/>
              <w:left w:val="single" w:color="AACFAA" w:sz="1"/>
              <w:bottom w:val="single" w:color="AACFAA" w:sz="1"/>
              <w:right w:val="single" w:color="AACFAA" w:sz="1"/>
            </w:tcBorders>
            <w:shd w:fill="00663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Variable</w:t>
            </w:r>
          </w:p>
        </w:tc>
        <w:tc>
          <w:tcPr>
            <w:tcW w:type="dxa" w:w="6226"/>
            <w:tcBorders>
              <w:top w:val="single" w:color="AACFAA" w:sz="1"/>
              <w:left w:val="single" w:color="AACFAA" w:sz="1"/>
              <w:bottom w:val="single" w:color="AACFAA" w:sz="1"/>
              <w:right w:val="single" w:color="AACFAA" w:sz="1"/>
            </w:tcBorders>
            <w:shd w:fill="00663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Observation clé</w:t>
            </w:r>
          </w:p>
        </w:tc>
      </w:tr>
      <w:tr>
        <w:tc>
          <w:tcPr>
            <w:tcW w:type="dxa" w:w="28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Age</w:t>
            </w:r>
          </w:p>
        </w:tc>
        <w:tc>
          <w:tcPr>
            <w:tcW w:type="dxa" w:w="6226"/>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Les employés de moins de 35 ans présentent un taux de départ plus élevé</w:t>
            </w:r>
          </w:p>
        </w:tc>
      </w:tr>
      <w:tr>
        <w:tc>
          <w:tcPr>
            <w:tcW w:type="dxa" w:w="28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MonthlyIncome</w:t>
            </w:r>
          </w:p>
        </w:tc>
        <w:tc>
          <w:tcPr>
            <w:tcW w:type="dxa" w:w="6226"/>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Les auditeurs quittant l'entreprise ont des salaires significativement plus bas</w:t>
            </w:r>
          </w:p>
        </w:tc>
      </w:tr>
      <w:tr>
        <w:tc>
          <w:tcPr>
            <w:tcW w:type="dxa" w:w="28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YearsAtCompany</w:t>
            </w:r>
          </w:p>
        </w:tc>
        <w:tc>
          <w:tcPr>
            <w:tcW w:type="dxa" w:w="6226"/>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Le turnover est concentré chez les employés avec moins de 5 ans d'ancienneté</w:t>
            </w:r>
          </w:p>
        </w:tc>
      </w:tr>
      <w:tr>
        <w:tc>
          <w:tcPr>
            <w:tcW w:type="dxa" w:w="28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DistanceFromHome</w:t>
            </w:r>
          </w:p>
        </w:tc>
        <w:tc>
          <w:tcPr>
            <w:tcW w:type="dxa" w:w="6226"/>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Les distances importantes sont associées à un risque de départ accru</w:t>
            </w:r>
          </w:p>
        </w:tc>
      </w:tr>
      <w:tr>
        <w:tc>
          <w:tcPr>
            <w:tcW w:type="dxa" w:w="28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TotalWorkingYears</w:t>
            </w:r>
          </w:p>
        </w:tc>
        <w:tc>
          <w:tcPr>
            <w:tcW w:type="dxa" w:w="6226"/>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Les profils juniors (peu d'expérience totale) sont plus volatils</w:t>
            </w:r>
          </w:p>
        </w:tc>
      </w:tr>
      <w:tr>
        <w:tc>
          <w:tcPr>
            <w:tcW w:type="dxa" w:w="28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2C2C2C"/>
                <w:sz w:val="20"/>
                <w:szCs w:val="20"/>
              </w:rPr>
              <w:t xml:space="preserve">JobLevel</w:t>
            </w:r>
          </w:p>
        </w:tc>
        <w:tc>
          <w:tcPr>
            <w:tcW w:type="dxa" w:w="6226"/>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Les niveaux hiérarchiques inférieurs enregistrent davantage de départs</w:t>
            </w:r>
          </w:p>
        </w:tc>
      </w:tr>
      <w:tr>
        <w:tc>
          <w:tcPr>
            <w:tcW w:type="dxa" w:w="28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2C2C2C"/>
                <w:sz w:val="20"/>
                <w:szCs w:val="20"/>
              </w:rPr>
              <w:t xml:space="preserve">YearsWithCurrManager</w:t>
            </w:r>
          </w:p>
        </w:tc>
        <w:tc>
          <w:tcPr>
            <w:tcW w:type="dxa" w:w="6226"/>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Un faible tenure avec le manager actuel corrèle avec le départ</w:t>
            </w:r>
          </w:p>
        </w:tc>
      </w:tr>
    </w:tbl>
    <w:p>
      <w:pPr>
        <w:spacing w:before="60" w:after="180"/>
        <w:jc w:val="center"/>
      </w:pPr>
      <w:r>
        <w:rPr>
          <w:rFonts w:ascii="Times New Roman" w:cs="Times New Roman" w:eastAsia="Times New Roman" w:hAnsi="Times New Roman"/>
          <w:i/>
          <w:iCs/>
          <w:color w:val="666666"/>
          <w:sz w:val="20"/>
          <w:szCs w:val="20"/>
        </w:rPr>
        <w:t xml:space="preserve">Tableau 3 : Principaux résultats de l'analyse univariée des variables numériques</w:t>
      </w:r>
    </w:p>
    <w:p>
      <w:pPr>
        <w:spacing w:after="120"/>
      </w:pPr>
      <w:r>
        <w:t xml:space="preserve"/>
      </w:r>
    </w:p>
    <w:p>
      <w:pPr>
        <w:spacing w:before="160" w:after="100"/>
      </w:pPr>
      <w:r>
        <w:rPr>
          <w:rFonts w:ascii="Times New Roman" w:cs="Times New Roman" w:eastAsia="Times New Roman" w:hAnsi="Times New Roman"/>
          <w:b/>
          <w:bCs/>
          <w:color w:val="004422"/>
          <w:sz w:val="24"/>
          <w:szCs w:val="24"/>
          <w:u w:val="single" w:color="D4A017"/>
        </w:rPr>
        <w:t xml:space="preserve">Analyse univariée — Variables catégorielles</w:t>
      </w:r>
    </w:p>
    <w:p>
      <w:pPr>
        <w:spacing w:line="360" w:after="120"/>
        <w:ind w:firstLine="360"/>
        <w:jc w:val="both"/>
      </w:pPr>
      <w:r>
        <w:rPr>
          <w:rFonts w:ascii="Times New Roman" w:cs="Times New Roman" w:eastAsia="Times New Roman" w:hAnsi="Times New Roman"/>
          <w:color w:val="2C2C2C"/>
          <w:sz w:val="24"/>
          <w:szCs w:val="24"/>
        </w:rPr>
        <w:t xml:space="preserve">L'analyse des taux de départ par variable catégorielle a mis en évidence les enseignements suivants :</w:t>
      </w:r>
    </w:p>
    <w:p>
      <w:pPr>
        <w:pStyle w:val="ListParagraph"/>
        <w:numPr>
          <w:ilvl w:val="0"/>
          <w:numId w:val="2"/>
        </w:numPr>
        <w:spacing w:line="320" w:after="80"/>
      </w:pPr>
      <w:r>
        <w:rPr>
          <w:rFonts w:ascii="Times New Roman" w:cs="Times New Roman" w:eastAsia="Times New Roman" w:hAnsi="Times New Roman"/>
          <w:b/>
          <w:bCs/>
          <w:color w:val="D4A017"/>
          <w:sz w:val="24"/>
          <w:szCs w:val="24"/>
        </w:rPr>
        <w:t xml:space="preserve">OverTime : </w:t>
      </w:r>
      <w:r>
        <w:rPr>
          <w:rFonts w:ascii="Times New Roman" w:cs="Times New Roman" w:eastAsia="Times New Roman" w:hAnsi="Times New Roman"/>
          <w:color w:val="2C2C2C"/>
          <w:sz w:val="24"/>
          <w:szCs w:val="24"/>
        </w:rPr>
        <w:t xml:space="preserve">Les employés effectuant régulièrement des heures supplémentaires affichent un taux de départ nettement supérieur (~30 % contre ~10 %). Il s'agit du signal prédictif le plus puissant du dataset.</w:t>
      </w:r>
    </w:p>
    <w:p>
      <w:pPr>
        <w:pStyle w:val="ListParagraph"/>
        <w:numPr>
          <w:ilvl w:val="0"/>
          <w:numId w:val="2"/>
        </w:numPr>
        <w:spacing w:line="320" w:after="80"/>
      </w:pPr>
      <w:r>
        <w:rPr>
          <w:rFonts w:ascii="Times New Roman" w:cs="Times New Roman" w:eastAsia="Times New Roman" w:hAnsi="Times New Roman"/>
          <w:b/>
          <w:bCs/>
          <w:color w:val="D4A017"/>
          <w:sz w:val="24"/>
          <w:szCs w:val="24"/>
        </w:rPr>
        <w:t xml:space="preserve">BusinessTravel : </w:t>
      </w:r>
      <w:r>
        <w:rPr>
          <w:rFonts w:ascii="Times New Roman" w:cs="Times New Roman" w:eastAsia="Times New Roman" w:hAnsi="Times New Roman"/>
          <w:color w:val="2C2C2C"/>
          <w:sz w:val="24"/>
          <w:szCs w:val="24"/>
        </w:rPr>
        <w:t xml:space="preserve">Le groupe Travel_Frequently enregistre le taux d'attrition le plus élevé, confirmant l'impact de la fatigue des déplacements professionnels.</w:t>
      </w:r>
    </w:p>
    <w:p>
      <w:pPr>
        <w:pStyle w:val="ListParagraph"/>
        <w:numPr>
          <w:ilvl w:val="0"/>
          <w:numId w:val="2"/>
        </w:numPr>
        <w:spacing w:line="320" w:after="80"/>
      </w:pPr>
      <w:r>
        <w:rPr>
          <w:rFonts w:ascii="Times New Roman" w:cs="Times New Roman" w:eastAsia="Times New Roman" w:hAnsi="Times New Roman"/>
          <w:b/>
          <w:bCs/>
          <w:color w:val="D4A017"/>
          <w:sz w:val="24"/>
          <w:szCs w:val="24"/>
        </w:rPr>
        <w:t xml:space="preserve">MaritalStatus : </w:t>
      </w:r>
      <w:r>
        <w:rPr>
          <w:rFonts w:ascii="Times New Roman" w:cs="Times New Roman" w:eastAsia="Times New Roman" w:hAnsi="Times New Roman"/>
          <w:color w:val="2C2C2C"/>
          <w:sz w:val="24"/>
          <w:szCs w:val="24"/>
        </w:rPr>
        <w:t xml:space="preserve">Les célibataires présentent une mobilité supérieure et sont davantage susceptibles de saisir des opportunités externes.</w:t>
      </w:r>
    </w:p>
    <w:p>
      <w:pPr>
        <w:pStyle w:val="ListParagraph"/>
        <w:numPr>
          <w:ilvl w:val="0"/>
          <w:numId w:val="2"/>
        </w:numPr>
        <w:spacing w:line="320" w:after="80"/>
      </w:pPr>
      <w:r>
        <w:rPr>
          <w:rFonts w:ascii="Times New Roman" w:cs="Times New Roman" w:eastAsia="Times New Roman" w:hAnsi="Times New Roman"/>
          <w:b/>
          <w:bCs/>
          <w:color w:val="D4A017"/>
          <w:sz w:val="24"/>
          <w:szCs w:val="24"/>
        </w:rPr>
        <w:t xml:space="preserve">JobRole : </w:t>
      </w:r>
      <w:r>
        <w:rPr>
          <w:rFonts w:ascii="Times New Roman" w:cs="Times New Roman" w:eastAsia="Times New Roman" w:hAnsi="Times New Roman"/>
          <w:color w:val="2C2C2C"/>
          <w:sz w:val="24"/>
          <w:szCs w:val="24"/>
        </w:rPr>
        <w:t xml:space="preserve">Les Sales Representatives et certains profils techniques affichent les taux de départ les plus élevés.</w:t>
      </w:r>
    </w:p>
    <w:p>
      <w:pPr>
        <w:spacing w:after="120"/>
      </w:pPr>
      <w:r>
        <w:t xml:space="preserve"/>
      </w:r>
    </w:p>
    <w:p>
      <w:pPr>
        <w:spacing w:before="160" w:after="100"/>
      </w:pPr>
      <w:r>
        <w:rPr>
          <w:rFonts w:ascii="Times New Roman" w:cs="Times New Roman" w:eastAsia="Times New Roman" w:hAnsi="Times New Roman"/>
          <w:b/>
          <w:bCs/>
          <w:color w:val="004422"/>
          <w:sz w:val="24"/>
          <w:szCs w:val="24"/>
          <w:u w:val="single" w:color="D4A017"/>
        </w:rPr>
        <w:t xml:space="preserve">Analyse de corrélation</w:t>
      </w:r>
    </w:p>
    <w:p>
      <w:pPr>
        <w:spacing w:line="360" w:after="120"/>
        <w:ind w:firstLine="360"/>
        <w:jc w:val="both"/>
      </w:pPr>
      <w:r>
        <w:rPr>
          <w:rFonts w:ascii="Times New Roman" w:cs="Times New Roman" w:eastAsia="Times New Roman" w:hAnsi="Times New Roman"/>
          <w:color w:val="2C2C2C"/>
          <w:sz w:val="24"/>
          <w:szCs w:val="24"/>
        </w:rPr>
        <w:t xml:space="preserve">La matrice de corrélation a permis de hiérarchiser les variables selon leur liaison avec la variable cible Attrition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113"/>
        <w:gridCol w:w="5113"/>
      </w:tblGrid>
      <w:tr>
        <w:trPr>
          <w:tblHeader/>
        </w:trPr>
        <w:tc>
          <w:tcPr>
            <w:tcW w:type="dxa" w:w="800"/>
            <w:tcBorders>
              <w:top w:val="single" w:color="AACFAA" w:sz="1"/>
              <w:left w:val="single" w:color="AACFAA" w:sz="1"/>
              <w:bottom w:val="single" w:color="AACFAA" w:sz="1"/>
              <w:right w:val="single" w:color="AACFAA" w:sz="1"/>
            </w:tcBorders>
            <w:shd w:fill="00663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Rang</w:t>
            </w:r>
          </w:p>
        </w:tc>
        <w:tc>
          <w:tcPr>
            <w:tcW w:type="dxa" w:w="3113"/>
            <w:tcBorders>
              <w:top w:val="single" w:color="AACFAA" w:sz="1"/>
              <w:left w:val="single" w:color="AACFAA" w:sz="1"/>
              <w:bottom w:val="single" w:color="AACFAA" w:sz="1"/>
              <w:right w:val="single" w:color="AACFAA" w:sz="1"/>
            </w:tcBorders>
            <w:shd w:fill="00663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Variable</w:t>
            </w:r>
          </w:p>
        </w:tc>
        <w:tc>
          <w:tcPr>
            <w:tcW w:type="dxa" w:w="5113"/>
            <w:tcBorders>
              <w:top w:val="single" w:color="AACFAA" w:sz="1"/>
              <w:left w:val="single" w:color="AACFAA" w:sz="1"/>
              <w:bottom w:val="single" w:color="AACFAA" w:sz="1"/>
              <w:right w:val="single" w:color="AACFAA" w:sz="1"/>
            </w:tcBorders>
            <w:shd w:fill="00663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Corrélation avec Attrition</w:t>
            </w:r>
          </w:p>
        </w:tc>
      </w:tr>
      <w:tr>
        <w:tc>
          <w:tcPr>
            <w:tcW w:type="dxa" w:w="8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1</w:t>
            </w:r>
          </w:p>
        </w:tc>
        <w:tc>
          <w:tcPr>
            <w:tcW w:type="dxa" w:w="3113"/>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OverTime</w:t>
            </w:r>
          </w:p>
        </w:tc>
        <w:tc>
          <w:tcPr>
            <w:tcW w:type="dxa" w:w="5113"/>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Forte positive</w:t>
            </w:r>
          </w:p>
        </w:tc>
      </w:tr>
      <w:tr>
        <w:tc>
          <w:tcPr>
            <w:tcW w:type="dxa" w:w="8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2</w:t>
            </w:r>
          </w:p>
        </w:tc>
        <w:tc>
          <w:tcPr>
            <w:tcW w:type="dxa" w:w="3113"/>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MonthlyIncome</w:t>
            </w:r>
          </w:p>
        </w:tc>
        <w:tc>
          <w:tcPr>
            <w:tcW w:type="dxa" w:w="5113"/>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Forte négative</w:t>
            </w:r>
          </w:p>
        </w:tc>
      </w:tr>
      <w:tr>
        <w:tc>
          <w:tcPr>
            <w:tcW w:type="dxa" w:w="8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3</w:t>
            </w:r>
          </w:p>
        </w:tc>
        <w:tc>
          <w:tcPr>
            <w:tcW w:type="dxa" w:w="3113"/>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Age</w:t>
            </w:r>
          </w:p>
        </w:tc>
        <w:tc>
          <w:tcPr>
            <w:tcW w:type="dxa" w:w="5113"/>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Modérée négative</w:t>
            </w:r>
          </w:p>
        </w:tc>
      </w:tr>
      <w:tr>
        <w:tc>
          <w:tcPr>
            <w:tcW w:type="dxa" w:w="8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4</w:t>
            </w:r>
          </w:p>
        </w:tc>
        <w:tc>
          <w:tcPr>
            <w:tcW w:type="dxa" w:w="3113"/>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TotalWorkingYears</w:t>
            </w:r>
          </w:p>
        </w:tc>
        <w:tc>
          <w:tcPr>
            <w:tcW w:type="dxa" w:w="5113"/>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Modérée négative</w:t>
            </w:r>
          </w:p>
        </w:tc>
      </w:tr>
      <w:tr>
        <w:tc>
          <w:tcPr>
            <w:tcW w:type="dxa" w:w="8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5</w:t>
            </w:r>
          </w:p>
        </w:tc>
        <w:tc>
          <w:tcPr>
            <w:tcW w:type="dxa" w:w="3113"/>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JobLevel</w:t>
            </w:r>
          </w:p>
        </w:tc>
        <w:tc>
          <w:tcPr>
            <w:tcW w:type="dxa" w:w="5113"/>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Modérée négative</w:t>
            </w:r>
          </w:p>
        </w:tc>
      </w:tr>
      <w:tr>
        <w:tc>
          <w:tcPr>
            <w:tcW w:type="dxa" w:w="8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2C2C2C"/>
                <w:sz w:val="20"/>
                <w:szCs w:val="20"/>
              </w:rPr>
              <w:t xml:space="preserve">6</w:t>
            </w:r>
          </w:p>
        </w:tc>
        <w:tc>
          <w:tcPr>
            <w:tcW w:type="dxa" w:w="3113"/>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YearsInCurrentRole</w:t>
            </w:r>
          </w:p>
        </w:tc>
        <w:tc>
          <w:tcPr>
            <w:tcW w:type="dxa" w:w="5113"/>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Modérée négative</w:t>
            </w:r>
          </w:p>
        </w:tc>
      </w:tr>
      <w:tr>
        <w:tc>
          <w:tcPr>
            <w:tcW w:type="dxa" w:w="8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2C2C2C"/>
                <w:sz w:val="20"/>
                <w:szCs w:val="20"/>
              </w:rPr>
              <w:t xml:space="preserve">7</w:t>
            </w:r>
          </w:p>
        </w:tc>
        <w:tc>
          <w:tcPr>
            <w:tcW w:type="dxa" w:w="3113"/>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YearsWithCurrManager</w:t>
            </w:r>
          </w:p>
        </w:tc>
        <w:tc>
          <w:tcPr>
            <w:tcW w:type="dxa" w:w="5113"/>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Modérée négative</w:t>
            </w:r>
          </w:p>
        </w:tc>
      </w:tr>
      <w:tr>
        <w:tc>
          <w:tcPr>
            <w:tcW w:type="dxa" w:w="8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2C2C2C"/>
                <w:sz w:val="20"/>
                <w:szCs w:val="20"/>
              </w:rPr>
              <w:t xml:space="preserve">8</w:t>
            </w:r>
          </w:p>
        </w:tc>
        <w:tc>
          <w:tcPr>
            <w:tcW w:type="dxa" w:w="3113"/>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MaritalStatus</w:t>
            </w:r>
          </w:p>
        </w:tc>
        <w:tc>
          <w:tcPr>
            <w:tcW w:type="dxa" w:w="5113"/>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Modérée positive</w:t>
            </w:r>
          </w:p>
        </w:tc>
      </w:tr>
      <w:tr>
        <w:tc>
          <w:tcPr>
            <w:tcW w:type="dxa" w:w="8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2C2C2C"/>
                <w:sz w:val="20"/>
                <w:szCs w:val="20"/>
              </w:rPr>
              <w:t xml:space="preserve">9</w:t>
            </w:r>
          </w:p>
        </w:tc>
        <w:tc>
          <w:tcPr>
            <w:tcW w:type="dxa" w:w="3113"/>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DistanceFromHome</w:t>
            </w:r>
          </w:p>
        </w:tc>
        <w:tc>
          <w:tcPr>
            <w:tcW w:type="dxa" w:w="5113"/>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Faible positive</w:t>
            </w:r>
          </w:p>
        </w:tc>
      </w:tr>
      <w:tr>
        <w:tc>
          <w:tcPr>
            <w:tcW w:type="dxa" w:w="8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2C2C2C"/>
                <w:sz w:val="20"/>
                <w:szCs w:val="20"/>
              </w:rPr>
              <w:t xml:space="preserve">10</w:t>
            </w:r>
          </w:p>
        </w:tc>
        <w:tc>
          <w:tcPr>
            <w:tcW w:type="dxa" w:w="3113"/>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NumCompaniesWorked</w:t>
            </w:r>
          </w:p>
        </w:tc>
        <w:tc>
          <w:tcPr>
            <w:tcW w:type="dxa" w:w="5113"/>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Faible positive</w:t>
            </w:r>
          </w:p>
        </w:tc>
      </w:tr>
    </w:tbl>
    <w:p>
      <w:pPr>
        <w:spacing w:before="60" w:after="180"/>
        <w:jc w:val="center"/>
      </w:pPr>
      <w:r>
        <w:rPr>
          <w:rFonts w:ascii="Times New Roman" w:cs="Times New Roman" w:eastAsia="Times New Roman" w:hAnsi="Times New Roman"/>
          <w:i/>
          <w:iCs/>
          <w:color w:val="666666"/>
          <w:sz w:val="20"/>
          <w:szCs w:val="20"/>
        </w:rPr>
        <w:t xml:space="preserve">Tableau 4 : Classement des variables selon leur corrélation avec l'Attrition</w:t>
      </w:r>
    </w:p>
    <w:p>
      <w:pPr>
        <w:spacing w:after="120"/>
      </w:pPr>
      <w:r>
        <w:t xml:space="preserve"/>
      </w:r>
    </w:p>
    <w:p>
      <w:pPr>
        <w:pStyle w:val="Heading2"/>
        <w:spacing w:before="220" w:after="140"/>
      </w:pPr>
      <w:r>
        <w:rPr>
          <w:rFonts w:ascii="Times New Roman" w:cs="Times New Roman" w:eastAsia="Times New Roman" w:hAnsi="Times New Roman"/>
          <w:b/>
          <w:bCs/>
          <w:color w:val="D4A017"/>
          <w:sz w:val="26"/>
          <w:szCs w:val="26"/>
        </w:rPr>
        <w:t xml:space="preserve">II.3 </w:t>
      </w:r>
      <w:r>
        <w:rPr>
          <w:rFonts w:ascii="Times New Roman" w:cs="Times New Roman" w:eastAsia="Times New Roman" w:hAnsi="Times New Roman"/>
          <w:b/>
          <w:bCs/>
          <w:color w:val="004422"/>
          <w:sz w:val="26"/>
          <w:szCs w:val="26"/>
        </w:rPr>
        <w:t xml:space="preserve">Prétraitement des Données</w:t>
      </w:r>
    </w:p>
    <w:p>
      <w:pPr>
        <w:spacing w:line="360" w:after="120"/>
        <w:ind w:firstLine="360"/>
        <w:jc w:val="both"/>
      </w:pPr>
      <w:r>
        <w:rPr>
          <w:rFonts w:ascii="Times New Roman" w:cs="Times New Roman" w:eastAsia="Times New Roman" w:hAnsi="Times New Roman"/>
          <w:color w:val="2C2C2C"/>
          <w:sz w:val="24"/>
          <w:szCs w:val="24"/>
        </w:rPr>
        <w:t xml:space="preserve">Le pipeline de prétraitement a été structuré en cinq étapes successives, appliquées dans un ordre méthodologiquement rigoureux visant à éviter toute fuite de données (data leakage) entre les ensembles d'entraînement et de test.</w:t>
      </w:r>
    </w:p>
    <w:p>
      <w:pPr>
        <w:spacing w:after="80"/>
      </w:pPr>
      <w:r>
        <w:t xml:space="preserve"/>
      </w:r>
    </w:p>
    <w:p>
      <w:pPr>
        <w:spacing w:before="160" w:after="100"/>
      </w:pPr>
      <w:r>
        <w:rPr>
          <w:rFonts w:ascii="Times New Roman" w:cs="Times New Roman" w:eastAsia="Times New Roman" w:hAnsi="Times New Roman"/>
          <w:b/>
          <w:bCs/>
          <w:color w:val="004422"/>
          <w:sz w:val="24"/>
          <w:szCs w:val="24"/>
          <w:u w:val="single" w:color="D4A017"/>
        </w:rPr>
        <w:t xml:space="preserve">Étapes du pipeline</w:t>
      </w:r>
    </w:p>
    <w:p>
      <w:pPr>
        <w:pStyle w:val="ListParagraph"/>
        <w:numPr>
          <w:ilvl w:val="0"/>
          <w:numId w:val="2"/>
        </w:numPr>
        <w:spacing w:line="320" w:after="80"/>
      </w:pPr>
      <w:r>
        <w:rPr>
          <w:rFonts w:ascii="Times New Roman" w:cs="Times New Roman" w:eastAsia="Times New Roman" w:hAnsi="Times New Roman"/>
          <w:b/>
          <w:bCs/>
          <w:color w:val="D4A017"/>
          <w:sz w:val="24"/>
          <w:szCs w:val="24"/>
        </w:rPr>
        <w:t xml:space="preserve">Étape 1 — Suppression des colonnes non informatives : </w:t>
      </w:r>
      <w:r>
        <w:rPr>
          <w:rFonts w:ascii="Times New Roman" w:cs="Times New Roman" w:eastAsia="Times New Roman" w:hAnsi="Times New Roman"/>
          <w:color w:val="2C2C2C"/>
          <w:sz w:val="24"/>
          <w:szCs w:val="24"/>
        </w:rPr>
        <w:t xml:space="preserve">Quatre colonnes à valeur constante ont été supprimées (EmployeeCount, Over18, StandardHours, EmployeeNumber), réduisant le dataset de 35 à 31 variables.</w:t>
      </w:r>
    </w:p>
    <w:p>
      <w:pPr>
        <w:pStyle w:val="ListParagraph"/>
        <w:numPr>
          <w:ilvl w:val="0"/>
          <w:numId w:val="2"/>
        </w:numPr>
        <w:spacing w:line="320" w:after="80"/>
      </w:pPr>
      <w:r>
        <w:rPr>
          <w:rFonts w:ascii="Times New Roman" w:cs="Times New Roman" w:eastAsia="Times New Roman" w:hAnsi="Times New Roman"/>
          <w:b/>
          <w:bCs/>
          <w:color w:val="D4A017"/>
          <w:sz w:val="24"/>
          <w:szCs w:val="24"/>
        </w:rPr>
        <w:t xml:space="preserve">Étape 2 — Encodage de la variable cible : </w:t>
      </w:r>
      <w:r>
        <w:rPr>
          <w:rFonts w:ascii="Times New Roman" w:cs="Times New Roman" w:eastAsia="Times New Roman" w:hAnsi="Times New Roman"/>
          <w:color w:val="2C2C2C"/>
          <w:sz w:val="24"/>
          <w:szCs w:val="24"/>
        </w:rPr>
        <w:t xml:space="preserve">La variable Attrition a été transformée en binaire numérique : Yes → 1 (départ), No → 0 (reste).</w:t>
      </w:r>
    </w:p>
    <w:p>
      <w:pPr>
        <w:pStyle w:val="ListParagraph"/>
        <w:numPr>
          <w:ilvl w:val="0"/>
          <w:numId w:val="2"/>
        </w:numPr>
        <w:spacing w:line="320" w:after="80"/>
      </w:pPr>
      <w:r>
        <w:rPr>
          <w:rFonts w:ascii="Times New Roman" w:cs="Times New Roman" w:eastAsia="Times New Roman" w:hAnsi="Times New Roman"/>
          <w:b/>
          <w:bCs/>
          <w:color w:val="D4A017"/>
          <w:sz w:val="24"/>
          <w:szCs w:val="24"/>
        </w:rPr>
        <w:t xml:space="preserve">Étape 3 — Encodage des variables catégorielles : </w:t>
      </w:r>
      <w:r>
        <w:rPr>
          <w:rFonts w:ascii="Times New Roman" w:cs="Times New Roman" w:eastAsia="Times New Roman" w:hAnsi="Times New Roman"/>
          <w:color w:val="2C2C2C"/>
          <w:sz w:val="24"/>
          <w:szCs w:val="24"/>
        </w:rPr>
        <w:t xml:space="preserve">Les variables de type objet (BusinessTravel, Department, EducationField, Gender, JobRole, MaritalStatus, OverTime) ont été encodées numériquement via LabelEncoder de Scikit-learn.</w:t>
      </w:r>
    </w:p>
    <w:p>
      <w:pPr>
        <w:pStyle w:val="ListParagraph"/>
        <w:numPr>
          <w:ilvl w:val="0"/>
          <w:numId w:val="2"/>
        </w:numPr>
        <w:spacing w:line="320" w:after="80"/>
      </w:pPr>
      <w:r>
        <w:rPr>
          <w:rFonts w:ascii="Times New Roman" w:cs="Times New Roman" w:eastAsia="Times New Roman" w:hAnsi="Times New Roman"/>
          <w:b/>
          <w:bCs/>
          <w:color w:val="D4A017"/>
          <w:sz w:val="24"/>
          <w:szCs w:val="24"/>
        </w:rPr>
        <w:t xml:space="preserve">Étape 4 — Division Train/Test 80/20 : </w:t>
      </w:r>
      <w:r>
        <w:rPr>
          <w:rFonts w:ascii="Times New Roman" w:cs="Times New Roman" w:eastAsia="Times New Roman" w:hAnsi="Times New Roman"/>
          <w:color w:val="2C2C2C"/>
          <w:sz w:val="24"/>
          <w:szCs w:val="24"/>
        </w:rPr>
        <w:t xml:space="preserve">Le dataset a été divisé avec stratification (stratify=y) pour préserver la distribution des classes dans les deux ensembles.</w:t>
      </w:r>
    </w:p>
    <w:p>
      <w:pPr>
        <w:pStyle w:val="ListParagraph"/>
        <w:numPr>
          <w:ilvl w:val="0"/>
          <w:numId w:val="2"/>
        </w:numPr>
        <w:spacing w:line="320" w:after="80"/>
      </w:pPr>
      <w:r>
        <w:rPr>
          <w:rFonts w:ascii="Times New Roman" w:cs="Times New Roman" w:eastAsia="Times New Roman" w:hAnsi="Times New Roman"/>
          <w:b/>
          <w:bCs/>
          <w:color w:val="D4A017"/>
          <w:sz w:val="24"/>
          <w:szCs w:val="24"/>
        </w:rPr>
        <w:t xml:space="preserve">Étape 5 — Rééquilibrage SMOTE : </w:t>
      </w:r>
      <w:r>
        <w:rPr>
          <w:rFonts w:ascii="Times New Roman" w:cs="Times New Roman" w:eastAsia="Times New Roman" w:hAnsi="Times New Roman"/>
          <w:color w:val="2C2C2C"/>
          <w:sz w:val="24"/>
          <w:szCs w:val="24"/>
        </w:rPr>
        <w:t xml:space="preserve">La technique SMOTE (Synthetic Minority Over-sampling Technique) a été appliquée exclusivement sur l'ensemble d'entraînement, portant la classe minoritaire de ~192 à ~984 observations.</w:t>
      </w:r>
    </w:p>
    <w:p>
      <w:pPr>
        <w:pStyle w:val="ListParagraph"/>
        <w:numPr>
          <w:ilvl w:val="0"/>
          <w:numId w:val="2"/>
        </w:numPr>
        <w:spacing w:line="320" w:after="80"/>
      </w:pPr>
      <w:r>
        <w:rPr>
          <w:rFonts w:ascii="Times New Roman" w:cs="Times New Roman" w:eastAsia="Times New Roman" w:hAnsi="Times New Roman"/>
          <w:b/>
          <w:bCs/>
          <w:color w:val="D4A017"/>
          <w:sz w:val="24"/>
          <w:szCs w:val="24"/>
        </w:rPr>
        <w:t xml:space="preserve">Étape 6 — Normalisation StandardScaler : </w:t>
      </w:r>
      <w:r>
        <w:rPr>
          <w:rFonts w:ascii="Times New Roman" w:cs="Times New Roman" w:eastAsia="Times New Roman" w:hAnsi="Times New Roman"/>
          <w:color w:val="2C2C2C"/>
          <w:sz w:val="24"/>
          <w:szCs w:val="24"/>
        </w:rPr>
        <w:t xml:space="preserve">Toutes les variables numériques ont été ramenées à une distribution centrée (µ=0, σ=1), indispensable pour les algorithmes sensibles à l'échelle.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63"/>
        <w:gridCol w:w="2363"/>
        <w:gridCol w:w="2000"/>
      </w:tblGrid>
      <w:tr>
        <w:trPr>
          <w:tblHeader/>
        </w:trPr>
        <w:tc>
          <w:tcPr>
            <w:tcW w:type="dxa" w:w="2300"/>
            <w:tcBorders>
              <w:top w:val="single" w:color="AACFAA" w:sz="1"/>
              <w:left w:val="single" w:color="AACFAA" w:sz="1"/>
              <w:bottom w:val="single" w:color="AACFAA" w:sz="1"/>
              <w:right w:val="single" w:color="AACFAA" w:sz="1"/>
            </w:tcBorders>
            <w:shd w:fill="D4A01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Ensemble</w:t>
            </w:r>
          </w:p>
        </w:tc>
        <w:tc>
          <w:tcPr>
            <w:tcW w:type="dxa" w:w="2363"/>
            <w:tcBorders>
              <w:top w:val="single" w:color="AACFAA" w:sz="1"/>
              <w:left w:val="single" w:color="AACFAA" w:sz="1"/>
              <w:bottom w:val="single" w:color="AACFAA" w:sz="1"/>
              <w:right w:val="single" w:color="AACFAA" w:sz="1"/>
            </w:tcBorders>
            <w:shd w:fill="D4A01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Avant SMOTE — Cl. 0</w:t>
            </w:r>
          </w:p>
        </w:tc>
        <w:tc>
          <w:tcPr>
            <w:tcW w:type="dxa" w:w="2363"/>
            <w:tcBorders>
              <w:top w:val="single" w:color="AACFAA" w:sz="1"/>
              <w:left w:val="single" w:color="AACFAA" w:sz="1"/>
              <w:bottom w:val="single" w:color="AACFAA" w:sz="1"/>
              <w:right w:val="single" w:color="AACFAA" w:sz="1"/>
            </w:tcBorders>
            <w:shd w:fill="D4A01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Avant SMOTE — Cl. 1</w:t>
            </w:r>
          </w:p>
        </w:tc>
        <w:tc>
          <w:tcPr>
            <w:tcW w:type="dxa" w:w="2000"/>
            <w:tcBorders>
              <w:top w:val="single" w:color="AACFAA" w:sz="1"/>
              <w:left w:val="single" w:color="AACFAA" w:sz="1"/>
              <w:bottom w:val="single" w:color="AACFAA" w:sz="1"/>
              <w:right w:val="single" w:color="AACFAA" w:sz="1"/>
            </w:tcBorders>
            <w:shd w:fill="D4A01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Après SMOTE</w:t>
            </w:r>
          </w:p>
        </w:tc>
      </w:tr>
      <w:tr>
        <w:tc>
          <w:tcPr>
            <w:tcW w:type="dxa" w:w="23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Entraînement (80 %)</w:t>
            </w:r>
          </w:p>
        </w:tc>
        <w:tc>
          <w:tcPr>
            <w:tcW w:type="dxa" w:w="2363"/>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~984</w:t>
            </w:r>
          </w:p>
        </w:tc>
        <w:tc>
          <w:tcPr>
            <w:tcW w:type="dxa" w:w="2363"/>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~192</w:t>
            </w:r>
          </w:p>
        </w:tc>
        <w:tc>
          <w:tcPr>
            <w:tcW w:type="dxa" w:w="20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~984 / ~984</w:t>
            </w:r>
          </w:p>
        </w:tc>
      </w:tr>
      <w:tr>
        <w:tc>
          <w:tcPr>
            <w:tcW w:type="dxa" w:w="23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Test (20 %)</w:t>
            </w:r>
          </w:p>
        </w:tc>
        <w:tc>
          <w:tcPr>
            <w:tcW w:type="dxa" w:w="2363"/>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~249</w:t>
            </w:r>
          </w:p>
        </w:tc>
        <w:tc>
          <w:tcPr>
            <w:tcW w:type="dxa" w:w="2363"/>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~45</w:t>
            </w:r>
          </w:p>
        </w:tc>
        <w:tc>
          <w:tcPr>
            <w:tcW w:type="dxa" w:w="20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Non modifié</w:t>
            </w:r>
          </w:p>
        </w:tc>
      </w:tr>
    </w:tbl>
    <w:p>
      <w:pPr>
        <w:spacing w:before="60" w:after="180"/>
        <w:jc w:val="center"/>
      </w:pPr>
      <w:r>
        <w:rPr>
          <w:rFonts w:ascii="Times New Roman" w:cs="Times New Roman" w:eastAsia="Times New Roman" w:hAnsi="Times New Roman"/>
          <w:i/>
          <w:iCs/>
          <w:color w:val="666666"/>
          <w:sz w:val="20"/>
          <w:szCs w:val="20"/>
        </w:rPr>
        <w:t xml:space="preserve">Tableau 5 : Impact du rééquilibrage SMOTE sur la distribution des classes</w:t>
      </w:r>
    </w:p>
    <w:p>
      <w:pPr>
        <w:spacing w:after="120"/>
      </w:pPr>
      <w:r>
        <w:t xml:space="preserve"/>
      </w:r>
    </w:p>
    <w:p>
      <w:pPr>
        <w:pStyle w:val="Heading2"/>
        <w:spacing w:before="220" w:after="140"/>
      </w:pPr>
      <w:r>
        <w:rPr>
          <w:rFonts w:ascii="Times New Roman" w:cs="Times New Roman" w:eastAsia="Times New Roman" w:hAnsi="Times New Roman"/>
          <w:b/>
          <w:bCs/>
          <w:color w:val="D4A017"/>
          <w:sz w:val="26"/>
          <w:szCs w:val="26"/>
        </w:rPr>
        <w:t xml:space="preserve">II.4 </w:t>
      </w:r>
      <w:r>
        <w:rPr>
          <w:rFonts w:ascii="Times New Roman" w:cs="Times New Roman" w:eastAsia="Times New Roman" w:hAnsi="Times New Roman"/>
          <w:b/>
          <w:bCs/>
          <w:color w:val="004422"/>
          <w:sz w:val="26"/>
          <w:szCs w:val="26"/>
        </w:rPr>
        <w:t xml:space="preserve">Modèles de Machine Learning testés</w:t>
      </w:r>
    </w:p>
    <w:p>
      <w:pPr>
        <w:spacing w:before="160" w:after="100"/>
      </w:pPr>
      <w:r>
        <w:rPr>
          <w:rFonts w:ascii="Times New Roman" w:cs="Times New Roman" w:eastAsia="Times New Roman" w:hAnsi="Times New Roman"/>
          <w:b/>
          <w:bCs/>
          <w:color w:val="004422"/>
          <w:sz w:val="24"/>
          <w:szCs w:val="24"/>
          <w:u w:val="single" w:color="D4A017"/>
        </w:rPr>
        <w:t xml:space="preserve">Présentation des cinq algorithmes</w:t>
      </w:r>
    </w:p>
    <w:p>
      <w:pPr>
        <w:spacing w:line="360" w:after="120"/>
        <w:ind w:firstLine="360"/>
        <w:jc w:val="both"/>
      </w:pPr>
      <w:r>
        <w:rPr>
          <w:rFonts w:ascii="Times New Roman" w:cs="Times New Roman" w:eastAsia="Times New Roman" w:hAnsi="Times New Roman"/>
          <w:color w:val="2C2C2C"/>
          <w:sz w:val="24"/>
          <w:szCs w:val="24"/>
        </w:rPr>
        <w:t xml:space="preserve">Cinq algorithmes de classification ont été entraînés, couvrant un spectre allant des modèles linéaires simples aux méthodes d'ensemble avancées, afin d'évaluer l'apport des différentes familles algorithmiques sur ce problème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2126"/>
        <w:gridCol w:w="4000"/>
      </w:tblGrid>
      <w:tr>
        <w:trPr>
          <w:tblHeader/>
        </w:trPr>
        <w:tc>
          <w:tcPr>
            <w:tcW w:type="dxa" w:w="400"/>
            <w:tcBorders>
              <w:top w:val="single" w:color="AACFAA" w:sz="1"/>
              <w:left w:val="single" w:color="AACFAA" w:sz="1"/>
              <w:bottom w:val="single" w:color="AACFAA" w:sz="1"/>
              <w:right w:val="single" w:color="AACFAA" w:sz="1"/>
            </w:tcBorders>
            <w:shd w:fill="00663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w:t>
            </w:r>
          </w:p>
        </w:tc>
        <w:tc>
          <w:tcPr>
            <w:tcW w:type="dxa" w:w="2500"/>
            <w:tcBorders>
              <w:top w:val="single" w:color="AACFAA" w:sz="1"/>
              <w:left w:val="single" w:color="AACFAA" w:sz="1"/>
              <w:bottom w:val="single" w:color="AACFAA" w:sz="1"/>
              <w:right w:val="single" w:color="AACFAA" w:sz="1"/>
            </w:tcBorders>
            <w:shd w:fill="00663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Modèle</w:t>
            </w:r>
          </w:p>
        </w:tc>
        <w:tc>
          <w:tcPr>
            <w:tcW w:type="dxa" w:w="2126"/>
            <w:tcBorders>
              <w:top w:val="single" w:color="AACFAA" w:sz="1"/>
              <w:left w:val="single" w:color="AACFAA" w:sz="1"/>
              <w:bottom w:val="single" w:color="AACFAA" w:sz="1"/>
              <w:right w:val="single" w:color="AACFAA" w:sz="1"/>
            </w:tcBorders>
            <w:shd w:fill="00663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Famille</w:t>
            </w:r>
          </w:p>
        </w:tc>
        <w:tc>
          <w:tcPr>
            <w:tcW w:type="dxa" w:w="4000"/>
            <w:tcBorders>
              <w:top w:val="single" w:color="AACFAA" w:sz="1"/>
              <w:left w:val="single" w:color="AACFAA" w:sz="1"/>
              <w:bottom w:val="single" w:color="AACFAA" w:sz="1"/>
              <w:right w:val="single" w:color="AACFAA" w:sz="1"/>
            </w:tcBorders>
            <w:shd w:fill="00663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Hyperparamètres principaux</w:t>
            </w:r>
          </w:p>
        </w:tc>
      </w:tr>
      <w:tr>
        <w:tc>
          <w:tcPr>
            <w:tcW w:type="dxa" w:w="4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1</w:t>
            </w:r>
          </w:p>
        </w:tc>
        <w:tc>
          <w:tcPr>
            <w:tcW w:type="dxa" w:w="25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Logistic Regression</w:t>
            </w:r>
          </w:p>
        </w:tc>
        <w:tc>
          <w:tcPr>
            <w:tcW w:type="dxa" w:w="2126"/>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Linéaire</w:t>
            </w:r>
          </w:p>
        </w:tc>
        <w:tc>
          <w:tcPr>
            <w:tcW w:type="dxa" w:w="40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max_iter=1000, random_state=42</w:t>
            </w:r>
          </w:p>
        </w:tc>
      </w:tr>
      <w:tr>
        <w:tc>
          <w:tcPr>
            <w:tcW w:type="dxa" w:w="4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2</w:t>
            </w:r>
          </w:p>
        </w:tc>
        <w:tc>
          <w:tcPr>
            <w:tcW w:type="dxa" w:w="25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Random Forest</w:t>
            </w:r>
          </w:p>
        </w:tc>
        <w:tc>
          <w:tcPr>
            <w:tcW w:type="dxa" w:w="2126"/>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Ensemble — Bagging</w:t>
            </w:r>
          </w:p>
        </w:tc>
        <w:tc>
          <w:tcPr>
            <w:tcW w:type="dxa" w:w="40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n_estimators=200, random_state=42</w:t>
            </w:r>
          </w:p>
        </w:tc>
      </w:tr>
      <w:tr>
        <w:tc>
          <w:tcPr>
            <w:tcW w:type="dxa" w:w="4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3</w:t>
            </w:r>
          </w:p>
        </w:tc>
        <w:tc>
          <w:tcPr>
            <w:tcW w:type="dxa" w:w="25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XGBoost</w:t>
            </w:r>
          </w:p>
        </w:tc>
        <w:tc>
          <w:tcPr>
            <w:tcW w:type="dxa" w:w="2126"/>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Ensemble — Boosting</w:t>
            </w:r>
          </w:p>
        </w:tc>
        <w:tc>
          <w:tcPr>
            <w:tcW w:type="dxa" w:w="40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eval_metric='logloss', random_state=42</w:t>
            </w:r>
          </w:p>
        </w:tc>
      </w:tr>
      <w:tr>
        <w:tc>
          <w:tcPr>
            <w:tcW w:type="dxa" w:w="4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4</w:t>
            </w:r>
          </w:p>
        </w:tc>
        <w:tc>
          <w:tcPr>
            <w:tcW w:type="dxa" w:w="25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LightGBM</w:t>
            </w:r>
          </w:p>
        </w:tc>
        <w:tc>
          <w:tcPr>
            <w:tcW w:type="dxa" w:w="2126"/>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Ensemble — Boosting</w:t>
            </w:r>
          </w:p>
        </w:tc>
        <w:tc>
          <w:tcPr>
            <w:tcW w:type="dxa" w:w="40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random_state=42, verbose=-1</w:t>
            </w:r>
          </w:p>
        </w:tc>
      </w:tr>
      <w:tr>
        <w:tc>
          <w:tcPr>
            <w:tcW w:type="dxa" w:w="4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5</w:t>
            </w:r>
          </w:p>
        </w:tc>
        <w:tc>
          <w:tcPr>
            <w:tcW w:type="dxa" w:w="25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Gradient Boosting</w:t>
            </w:r>
          </w:p>
        </w:tc>
        <w:tc>
          <w:tcPr>
            <w:tcW w:type="dxa" w:w="2126"/>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Ensemble — Boosting</w:t>
            </w:r>
          </w:p>
        </w:tc>
        <w:tc>
          <w:tcPr>
            <w:tcW w:type="dxa" w:w="40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n_estimators=200, random_state=42</w:t>
            </w:r>
          </w:p>
        </w:tc>
      </w:tr>
    </w:tbl>
    <w:p>
      <w:pPr>
        <w:spacing w:before="60" w:after="180"/>
        <w:jc w:val="center"/>
      </w:pPr>
      <w:r>
        <w:rPr>
          <w:rFonts w:ascii="Times New Roman" w:cs="Times New Roman" w:eastAsia="Times New Roman" w:hAnsi="Times New Roman"/>
          <w:i/>
          <w:iCs/>
          <w:color w:val="666666"/>
          <w:sz w:val="20"/>
          <w:szCs w:val="20"/>
        </w:rPr>
        <w:t xml:space="preserve">Tableau 6 : Présentation des cinq algorithmes de classification testés</w:t>
      </w:r>
    </w:p>
    <w:p>
      <w:pPr>
        <w:spacing w:after="120"/>
      </w:pPr>
      <w:r>
        <w:t xml:space="preserve"/>
      </w:r>
    </w:p>
    <w:p>
      <w:pPr>
        <w:spacing w:before="160" w:after="100"/>
      </w:pPr>
      <w:r>
        <w:rPr>
          <w:rFonts w:ascii="Times New Roman" w:cs="Times New Roman" w:eastAsia="Times New Roman" w:hAnsi="Times New Roman"/>
          <w:b/>
          <w:bCs/>
          <w:color w:val="004422"/>
          <w:sz w:val="24"/>
          <w:szCs w:val="24"/>
          <w:u w:val="single" w:color="D4A017"/>
        </w:rPr>
        <w:t xml:space="preserve">Protocole d'entraînement et métriques d'évaluation</w:t>
      </w:r>
    </w:p>
    <w:p>
      <w:pPr>
        <w:spacing w:line="360" w:after="120"/>
        <w:ind w:firstLine="360"/>
        <w:jc w:val="both"/>
      </w:pPr>
      <w:r>
        <w:rPr>
          <w:rFonts w:ascii="Times New Roman" w:cs="Times New Roman" w:eastAsia="Times New Roman" w:hAnsi="Times New Roman"/>
          <w:color w:val="2C2C2C"/>
          <w:sz w:val="24"/>
          <w:szCs w:val="24"/>
        </w:rPr>
        <w:t xml:space="preserve">Tous les modèles ont été évalués selon un protocole uniforme : entraînement sur les données SMOTE (classes équilibrées), prédiction sur l'ensemble de test (données réelles non rééquilibrées), et validation croisée stratifiée à 5 folds (StratifiedKFold, k=5) pour l'estimation de l'AUC-ROC.</w:t>
      </w:r>
    </w:p>
    <w:p>
      <w:pPr>
        <w:spacing w:line="360" w:after="120"/>
        <w:ind w:firstLine="360"/>
        <w:jc w:val="both"/>
      </w:pPr>
      <w:r>
        <w:rPr>
          <w:rFonts w:ascii="Times New Roman" w:cs="Times New Roman" w:eastAsia="Times New Roman" w:hAnsi="Times New Roman"/>
          <w:color w:val="2C2C2C"/>
          <w:sz w:val="24"/>
          <w:szCs w:val="24"/>
        </w:rPr>
        <w:t xml:space="preserve">Dans un contexte de prédiction du turnover, le Recall (Sensibilité) constitue la métrique prioritaire : manquer un employé qui va partir (Faux Négatif) est considéré comme plus coûteux que déclencher une fausse alerte (Faux Positif). L'AUC-ROC a été retenu comme métrique principale de comparaison globale.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26"/>
      </w:tblGrid>
      <w:tr>
        <w:trPr>
          <w:tblHeader/>
        </w:trPr>
        <w:tc>
          <w:tcPr>
            <w:tcW w:type="dxa" w:w="1800"/>
            <w:tcBorders>
              <w:top w:val="single" w:color="AACFAA" w:sz="1"/>
              <w:left w:val="single" w:color="AACFAA" w:sz="1"/>
              <w:bottom w:val="single" w:color="AACFAA" w:sz="1"/>
              <w:right w:val="single" w:color="AACFAA" w:sz="1"/>
            </w:tcBorders>
            <w:shd w:fill="00663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Métrique</w:t>
            </w:r>
          </w:p>
        </w:tc>
        <w:tc>
          <w:tcPr>
            <w:tcW w:type="dxa" w:w="2000"/>
            <w:tcBorders>
              <w:top w:val="single" w:color="AACFAA" w:sz="1"/>
              <w:left w:val="single" w:color="AACFAA" w:sz="1"/>
              <w:bottom w:val="single" w:color="AACFAA" w:sz="1"/>
              <w:right w:val="single" w:color="AACFAA" w:sz="1"/>
            </w:tcBorders>
            <w:shd w:fill="00663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Formule</w:t>
            </w:r>
          </w:p>
        </w:tc>
        <w:tc>
          <w:tcPr>
            <w:tcW w:type="dxa" w:w="5226"/>
            <w:tcBorders>
              <w:top w:val="single" w:color="AACFAA" w:sz="1"/>
              <w:left w:val="single" w:color="AACFAA" w:sz="1"/>
              <w:bottom w:val="single" w:color="AACFAA" w:sz="1"/>
              <w:right w:val="single" w:color="AACFAA" w:sz="1"/>
            </w:tcBorders>
            <w:shd w:fill="00663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Pertinence dans ce contexte</w:t>
            </w:r>
          </w:p>
        </w:tc>
      </w:tr>
      <w:tr>
        <w:tc>
          <w:tcPr>
            <w:tcW w:type="dxa" w:w="18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Accuracy</w:t>
            </w:r>
          </w:p>
        </w:tc>
        <w:tc>
          <w:tcPr>
            <w:tcW w:type="dxa" w:w="20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(VP + VN) / Total</w:t>
            </w:r>
          </w:p>
        </w:tc>
        <w:tc>
          <w:tcPr>
            <w:tcW w:type="dxa" w:w="5226"/>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Vision globale — trompeuse sur données déséquilibrées</w:t>
            </w:r>
          </w:p>
        </w:tc>
      </w:tr>
      <w:tr>
        <w:tc>
          <w:tcPr>
            <w:tcW w:type="dxa" w:w="18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Precision</w:t>
            </w:r>
          </w:p>
        </w:tc>
        <w:tc>
          <w:tcPr>
            <w:tcW w:type="dxa" w:w="20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VP / (VP + FP)</w:t>
            </w:r>
          </w:p>
        </w:tc>
        <w:tc>
          <w:tcPr>
            <w:tcW w:type="dxa" w:w="5226"/>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Fiabilité des alertes de départ déclenchées</w:t>
            </w:r>
          </w:p>
        </w:tc>
      </w:tr>
      <w:tr>
        <w:tc>
          <w:tcPr>
            <w:tcW w:type="dxa" w:w="18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Recall</w:t>
            </w:r>
          </w:p>
        </w:tc>
        <w:tc>
          <w:tcPr>
            <w:tcW w:type="dxa" w:w="20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VP / (VP + FN)</w:t>
            </w:r>
          </w:p>
        </w:tc>
        <w:tc>
          <w:tcPr>
            <w:tcW w:type="dxa" w:w="5226"/>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Capacité à détecter tous les départs réels — PRIORITAIRE</w:t>
            </w:r>
          </w:p>
        </w:tc>
      </w:tr>
      <w:tr>
        <w:tc>
          <w:tcPr>
            <w:tcW w:type="dxa" w:w="18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F1-Score</w:t>
            </w:r>
          </w:p>
        </w:tc>
        <w:tc>
          <w:tcPr>
            <w:tcW w:type="dxa" w:w="20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Harmonic Mean (Prec/Recall)</w:t>
            </w:r>
          </w:p>
        </w:tc>
        <w:tc>
          <w:tcPr>
            <w:tcW w:type="dxa" w:w="5226"/>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Compromis équilibré Precision / Recall</w:t>
            </w:r>
          </w:p>
        </w:tc>
      </w:tr>
      <w:tr>
        <w:tc>
          <w:tcPr>
            <w:tcW w:type="dxa" w:w="18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AUC-ROC</w:t>
            </w:r>
          </w:p>
        </w:tc>
        <w:tc>
          <w:tcPr>
            <w:tcW w:type="dxa" w:w="20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Aire sous la courbe ROC</w:t>
            </w:r>
          </w:p>
        </w:tc>
        <w:tc>
          <w:tcPr>
            <w:tcW w:type="dxa" w:w="5226"/>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Performance discriminante globale — MÉTRIQUE PRINCIPALE</w:t>
            </w:r>
          </w:p>
        </w:tc>
      </w:tr>
    </w:tbl>
    <w:p>
      <w:pPr>
        <w:spacing w:before="60" w:after="180"/>
        <w:jc w:val="center"/>
      </w:pPr>
      <w:r>
        <w:rPr>
          <w:rFonts w:ascii="Times New Roman" w:cs="Times New Roman" w:eastAsia="Times New Roman" w:hAnsi="Times New Roman"/>
          <w:i/>
          <w:iCs/>
          <w:color w:val="666666"/>
          <w:sz w:val="20"/>
          <w:szCs w:val="20"/>
        </w:rPr>
        <w:t xml:space="preserve">Tableau 7 : Métriques d'évaluation utilisées et leur pertinence</w:t>
      </w:r>
    </w:p>
    <w:p>
      <w:pPr>
        <w:spacing w:after="120"/>
      </w:pPr>
      <w:r>
        <w:t xml:space="preserve"/>
      </w:r>
    </w:p>
    <w:p>
      <w:pPr>
        <w:pStyle w:val="Heading2"/>
        <w:spacing w:before="220" w:after="140"/>
      </w:pPr>
      <w:r>
        <w:rPr>
          <w:rFonts w:ascii="Times New Roman" w:cs="Times New Roman" w:eastAsia="Times New Roman" w:hAnsi="Times New Roman"/>
          <w:b/>
          <w:bCs/>
          <w:color w:val="D4A017"/>
          <w:sz w:val="26"/>
          <w:szCs w:val="26"/>
        </w:rPr>
        <w:t xml:space="preserve">II.5 </w:t>
      </w:r>
      <w:r>
        <w:rPr>
          <w:rFonts w:ascii="Times New Roman" w:cs="Times New Roman" w:eastAsia="Times New Roman" w:hAnsi="Times New Roman"/>
          <w:b/>
          <w:bCs/>
          <w:color w:val="004422"/>
          <w:sz w:val="26"/>
          <w:szCs w:val="26"/>
        </w:rPr>
        <w:t xml:space="preserve">Interprétabilité avec SHAP</w:t>
      </w:r>
    </w:p>
    <w:p>
      <w:pPr>
        <w:spacing w:line="360" w:after="120"/>
        <w:ind w:firstLine="360"/>
        <w:jc w:val="both"/>
      </w:pPr>
      <w:r>
        <w:rPr>
          <w:rFonts w:ascii="Times New Roman" w:cs="Times New Roman" w:eastAsia="Times New Roman" w:hAnsi="Times New Roman"/>
          <w:color w:val="2C2C2C"/>
          <w:sz w:val="24"/>
          <w:szCs w:val="24"/>
        </w:rPr>
        <w:t xml:space="preserve">SHAP (SHapley Additive exPlanations) est une technique d'interprétabilité fondée sur la théorie des jeux coopératifs. Elle permet d'expliquer la contribution de chaque variable à la prédiction individuelle d'un modèle, en respectant des propriétés mathématiques rigoureuses (localité, consistance, efficacité).</w:t>
      </w:r>
    </w:p>
    <w:p>
      <w:pPr>
        <w:spacing w:line="360" w:after="120"/>
        <w:ind w:firstLine="360"/>
        <w:jc w:val="both"/>
      </w:pPr>
      <w:r>
        <w:rPr>
          <w:rFonts w:ascii="Times New Roman" w:cs="Times New Roman" w:eastAsia="Times New Roman" w:hAnsi="Times New Roman"/>
          <w:color w:val="2C2C2C"/>
          <w:sz w:val="24"/>
          <w:szCs w:val="24"/>
        </w:rPr>
        <w:t xml:space="preserve">Pour les modèles basés sur des arbres de décision (Random Forest, XGBoost, LightGBM), le TreeExplainer de SHAP offre un calcul exact et performant des valeurs SHAP. Trois types de visualisations ont été produits :</w:t>
      </w:r>
    </w:p>
    <w:p>
      <w:pPr>
        <w:pStyle w:val="ListParagraph"/>
        <w:numPr>
          <w:ilvl w:val="0"/>
          <w:numId w:val="2"/>
        </w:numPr>
        <w:spacing w:line="320" w:after="80"/>
      </w:pPr>
      <w:r>
        <w:rPr>
          <w:rFonts w:ascii="Times New Roman" w:cs="Times New Roman" w:eastAsia="Times New Roman" w:hAnsi="Times New Roman"/>
          <w:b/>
          <w:bCs/>
          <w:color w:val="D4A017"/>
          <w:sz w:val="24"/>
          <w:szCs w:val="24"/>
        </w:rPr>
        <w:t xml:space="preserve">SHAP Bar Plot (importance globale) : </w:t>
      </w:r>
      <w:r>
        <w:rPr>
          <w:rFonts w:ascii="Times New Roman" w:cs="Times New Roman" w:eastAsia="Times New Roman" w:hAnsi="Times New Roman"/>
          <w:color w:val="2C2C2C"/>
          <w:sz w:val="24"/>
          <w:szCs w:val="24"/>
        </w:rPr>
        <w:t xml:space="preserve">Classement des variables selon la moyenne de leurs valeurs SHAP absolues, révélant leur poids prédictif moyen sur l'ensemble des observations.</w:t>
      </w:r>
    </w:p>
    <w:p>
      <w:pPr>
        <w:pStyle w:val="ListParagraph"/>
        <w:numPr>
          <w:ilvl w:val="0"/>
          <w:numId w:val="2"/>
        </w:numPr>
        <w:spacing w:line="320" w:after="80"/>
      </w:pPr>
      <w:r>
        <w:rPr>
          <w:rFonts w:ascii="Times New Roman" w:cs="Times New Roman" w:eastAsia="Times New Roman" w:hAnsi="Times New Roman"/>
          <w:b/>
          <w:bCs/>
          <w:color w:val="D4A017"/>
          <w:sz w:val="24"/>
          <w:szCs w:val="24"/>
        </w:rPr>
        <w:t xml:space="preserve">SHAP Beeswarm Plot (direction d'impact) : </w:t>
      </w:r>
      <w:r>
        <w:rPr>
          <w:rFonts w:ascii="Times New Roman" w:cs="Times New Roman" w:eastAsia="Times New Roman" w:hAnsi="Times New Roman"/>
          <w:color w:val="2C2C2C"/>
          <w:sz w:val="24"/>
          <w:szCs w:val="24"/>
        </w:rPr>
        <w:t xml:space="preserve">Enrichit l'analyse en montrant non seulement l'importance, mais aussi la direction de l'effet (positif ou négatif sur la probabilité de départ).</w:t>
      </w:r>
    </w:p>
    <w:p>
      <w:pPr>
        <w:pStyle w:val="ListParagraph"/>
        <w:numPr>
          <w:ilvl w:val="0"/>
          <w:numId w:val="2"/>
        </w:numPr>
        <w:spacing w:line="320" w:after="80"/>
      </w:pPr>
      <w:r>
        <w:rPr>
          <w:rFonts w:ascii="Times New Roman" w:cs="Times New Roman" w:eastAsia="Times New Roman" w:hAnsi="Times New Roman"/>
          <w:b/>
          <w:bCs/>
          <w:color w:val="D4A017"/>
          <w:sz w:val="24"/>
          <w:szCs w:val="24"/>
        </w:rPr>
        <w:t xml:space="preserve">Simulation individuelle : </w:t>
      </w:r>
      <w:r>
        <w:rPr>
          <w:rFonts w:ascii="Times New Roman" w:cs="Times New Roman" w:eastAsia="Times New Roman" w:hAnsi="Times New Roman"/>
          <w:color w:val="2C2C2C"/>
          <w:sz w:val="24"/>
          <w:szCs w:val="24"/>
        </w:rPr>
        <w:t xml:space="preserve">Calcul de la probabilité de départ pour un profil d'auditeur donné, avec seuil d'intervention défini à 70 %.</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AACFAA" w:sz="1"/>
              <w:left w:val="single" w:color="AACFAA" w:sz="1"/>
              <w:bottom w:val="single" w:color="AACFAA" w:sz="1"/>
              <w:right w:val="single" w:color="AACFAA" w:sz="1"/>
            </w:tcBorders>
            <w:shd w:fill="D4A01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Seuil de probabilité</w:t>
            </w:r>
          </w:p>
        </w:tc>
        <w:tc>
          <w:tcPr>
            <w:tcW w:type="dxa" w:w="6226"/>
            <w:tcBorders>
              <w:top w:val="single" w:color="AACFAA" w:sz="1"/>
              <w:left w:val="single" w:color="AACFAA" w:sz="1"/>
              <w:bottom w:val="single" w:color="AACFAA" w:sz="1"/>
              <w:right w:val="single" w:color="AACFAA" w:sz="1"/>
            </w:tcBorders>
            <w:shd w:fill="D4A01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Action recommandée</w:t>
            </w:r>
          </w:p>
        </w:tc>
      </w:tr>
      <w:tr>
        <w:tc>
          <w:tcPr>
            <w:tcW w:type="dxa" w:w="28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&gt; 70 % — Risque élevé</w:t>
            </w:r>
          </w:p>
        </w:tc>
        <w:tc>
          <w:tcPr>
            <w:tcW w:type="dxa" w:w="6226"/>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Entretien de rétention URGENT</w:t>
            </w:r>
          </w:p>
        </w:tc>
      </w:tr>
      <w:tr>
        <w:tc>
          <w:tcPr>
            <w:tcW w:type="dxa" w:w="28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40 % – 70 % — Risque modéré</w:t>
            </w:r>
          </w:p>
        </w:tc>
        <w:tc>
          <w:tcPr>
            <w:tcW w:type="dxa" w:w="6226"/>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Suivi rapproché + plan de développement</w:t>
            </w:r>
          </w:p>
        </w:tc>
      </w:tr>
      <w:tr>
        <w:tc>
          <w:tcPr>
            <w:tcW w:type="dxa" w:w="28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&lt; 40 % — Risque faible</w:t>
            </w:r>
          </w:p>
        </w:tc>
        <w:tc>
          <w:tcPr>
            <w:tcW w:type="dxa" w:w="6226"/>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Aucune action urgente nécessaire</w:t>
            </w:r>
          </w:p>
        </w:tc>
      </w:tr>
    </w:tbl>
    <w:p>
      <w:pPr>
        <w:spacing w:before="60" w:after="180"/>
        <w:jc w:val="center"/>
      </w:pPr>
      <w:r>
        <w:rPr>
          <w:rFonts w:ascii="Times New Roman" w:cs="Times New Roman" w:eastAsia="Times New Roman" w:hAnsi="Times New Roman"/>
          <w:i/>
          <w:iCs/>
          <w:color w:val="666666"/>
          <w:sz w:val="20"/>
          <w:szCs w:val="20"/>
        </w:rPr>
        <w:t xml:space="preserve">Tableau 8 : Grille d'intervention basée sur la probabilité de départ prédite</w:t>
      </w:r>
    </w:p>
    <w:p>
      <w:r>
        <w:br w:type="page"/>
      </w:r>
    </w:p>
    <w:p>
      <w:pPr>
        <w:pStyle w:val="Heading1"/>
        <w:pBdr>
          <w:bottom w:val="single" w:color="D4A017" w:sz="4" w:space="2"/>
        </w:pBdr>
        <w:spacing w:before="320" w:after="180"/>
      </w:pPr>
      <w:r>
        <w:rPr>
          <w:rFonts w:ascii="Times New Roman" w:cs="Times New Roman" w:eastAsia="Times New Roman" w:hAnsi="Times New Roman"/>
          <w:b/>
          <w:bCs/>
          <w:color w:val="D4A017"/>
          <w:sz w:val="30"/>
          <w:szCs w:val="30"/>
        </w:rPr>
        <w:t xml:space="preserve">III. </w:t>
      </w:r>
      <w:r>
        <w:rPr>
          <w:rFonts w:ascii="Times New Roman" w:cs="Times New Roman" w:eastAsia="Times New Roman" w:hAnsi="Times New Roman"/>
          <w:b/>
          <w:bCs/>
          <w:color w:val="006633"/>
          <w:sz w:val="30"/>
          <w:szCs w:val="30"/>
        </w:rPr>
        <w:t xml:space="preserve">RÉSULTATS ET DISCUSSION</w:t>
      </w:r>
    </w:p>
    <w:p>
      <w:pPr>
        <w:pStyle w:val="Heading2"/>
        <w:spacing w:before="220" w:after="140"/>
      </w:pPr>
      <w:r>
        <w:rPr>
          <w:rFonts w:ascii="Times New Roman" w:cs="Times New Roman" w:eastAsia="Times New Roman" w:hAnsi="Times New Roman"/>
          <w:b/>
          <w:bCs/>
          <w:color w:val="D4A017"/>
          <w:sz w:val="26"/>
          <w:szCs w:val="26"/>
        </w:rPr>
        <w:t xml:space="preserve">III.1 </w:t>
      </w:r>
      <w:r>
        <w:rPr>
          <w:rFonts w:ascii="Times New Roman" w:cs="Times New Roman" w:eastAsia="Times New Roman" w:hAnsi="Times New Roman"/>
          <w:b/>
          <w:bCs/>
          <w:color w:val="004422"/>
          <w:sz w:val="26"/>
          <w:szCs w:val="26"/>
        </w:rPr>
        <w:t xml:space="preserve">Tableau comparatif des performances</w:t>
      </w:r>
    </w:p>
    <w:p>
      <w:pPr>
        <w:spacing w:line="360" w:after="120"/>
        <w:ind w:firstLine="360"/>
        <w:jc w:val="both"/>
      </w:pPr>
      <w:r>
        <w:rPr>
          <w:rFonts w:ascii="Times New Roman" w:cs="Times New Roman" w:eastAsia="Times New Roman" w:hAnsi="Times New Roman"/>
          <w:color w:val="2C2C2C"/>
          <w:sz w:val="24"/>
          <w:szCs w:val="24"/>
        </w:rPr>
        <w:t xml:space="preserve">Le tableau ci-après présente les résultats de l'ensemble des modèles, triés par AUC-ROC décroissant. LightGBM s'impose comme le meilleur algorithme sur l'ensemble des critères retenus.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100"/>
        <w:gridCol w:w="1300"/>
        <w:gridCol w:w="1200"/>
        <w:gridCol w:w="1226"/>
      </w:tblGrid>
      <w:tr>
        <w:trPr>
          <w:tblHeader/>
        </w:trPr>
        <w:tc>
          <w:tcPr>
            <w:tcW w:type="dxa" w:w="1800"/>
            <w:tcBorders>
              <w:top w:val="single" w:color="AACFAA" w:sz="1"/>
              <w:left w:val="single" w:color="AACFAA" w:sz="1"/>
              <w:bottom w:val="single" w:color="AACFAA" w:sz="1"/>
              <w:right w:val="single" w:color="AACFAA" w:sz="1"/>
            </w:tcBorders>
            <w:shd w:fill="00663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Modèle</w:t>
            </w:r>
          </w:p>
        </w:tc>
        <w:tc>
          <w:tcPr>
            <w:tcW w:type="dxa" w:w="1200"/>
            <w:tcBorders>
              <w:top w:val="single" w:color="AACFAA" w:sz="1"/>
              <w:left w:val="single" w:color="AACFAA" w:sz="1"/>
              <w:bottom w:val="single" w:color="AACFAA" w:sz="1"/>
              <w:right w:val="single" w:color="AACFAA" w:sz="1"/>
            </w:tcBorders>
            <w:shd w:fill="00663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Accuracy</w:t>
            </w:r>
          </w:p>
        </w:tc>
        <w:tc>
          <w:tcPr>
            <w:tcW w:type="dxa" w:w="1200"/>
            <w:tcBorders>
              <w:top w:val="single" w:color="AACFAA" w:sz="1"/>
              <w:left w:val="single" w:color="AACFAA" w:sz="1"/>
              <w:bottom w:val="single" w:color="AACFAA" w:sz="1"/>
              <w:right w:val="single" w:color="AACFAA" w:sz="1"/>
            </w:tcBorders>
            <w:shd w:fill="00663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Precision</w:t>
            </w:r>
          </w:p>
        </w:tc>
        <w:tc>
          <w:tcPr>
            <w:tcW w:type="dxa" w:w="1100"/>
            <w:tcBorders>
              <w:top w:val="single" w:color="AACFAA" w:sz="1"/>
              <w:left w:val="single" w:color="AACFAA" w:sz="1"/>
              <w:bottom w:val="single" w:color="AACFAA" w:sz="1"/>
              <w:right w:val="single" w:color="AACFAA" w:sz="1"/>
            </w:tcBorders>
            <w:shd w:fill="00663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Recall</w:t>
            </w:r>
          </w:p>
        </w:tc>
        <w:tc>
          <w:tcPr>
            <w:tcW w:type="dxa" w:w="1300"/>
            <w:tcBorders>
              <w:top w:val="single" w:color="AACFAA" w:sz="1"/>
              <w:left w:val="single" w:color="AACFAA" w:sz="1"/>
              <w:bottom w:val="single" w:color="AACFAA" w:sz="1"/>
              <w:right w:val="single" w:color="AACFAA" w:sz="1"/>
            </w:tcBorders>
            <w:shd w:fill="00663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F1-Score</w:t>
            </w:r>
          </w:p>
        </w:tc>
        <w:tc>
          <w:tcPr>
            <w:tcW w:type="dxa" w:w="1200"/>
            <w:tcBorders>
              <w:top w:val="single" w:color="AACFAA" w:sz="1"/>
              <w:left w:val="single" w:color="AACFAA" w:sz="1"/>
              <w:bottom w:val="single" w:color="AACFAA" w:sz="1"/>
              <w:right w:val="single" w:color="AACFAA" w:sz="1"/>
            </w:tcBorders>
            <w:shd w:fill="00663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AUC-ROC</w:t>
            </w:r>
          </w:p>
        </w:tc>
        <w:tc>
          <w:tcPr>
            <w:tcW w:type="dxa" w:w="1226"/>
            <w:tcBorders>
              <w:top w:val="single" w:color="AACFAA" w:sz="1"/>
              <w:left w:val="single" w:color="AACFAA" w:sz="1"/>
              <w:bottom w:val="single" w:color="AACFAA" w:sz="1"/>
              <w:right w:val="single" w:color="AACFAA" w:sz="1"/>
            </w:tcBorders>
            <w:shd w:fill="00663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CV Mean</w:t>
            </w:r>
          </w:p>
        </w:tc>
      </w:tr>
      <w:tr>
        <w:tc>
          <w:tcPr>
            <w:tcW w:type="dxa" w:w="18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LightGBM</w:t>
            </w:r>
          </w:p>
        </w:tc>
        <w:tc>
          <w:tcPr>
            <w:tcW w:type="dxa" w:w="12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~0.87</w:t>
            </w:r>
          </w:p>
        </w:tc>
        <w:tc>
          <w:tcPr>
            <w:tcW w:type="dxa" w:w="12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~0.72</w:t>
            </w:r>
          </w:p>
        </w:tc>
        <w:tc>
          <w:tcPr>
            <w:tcW w:type="dxa" w:w="11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~0.68</w:t>
            </w:r>
          </w:p>
        </w:tc>
        <w:tc>
          <w:tcPr>
            <w:tcW w:type="dxa" w:w="13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~0.70</w:t>
            </w:r>
          </w:p>
        </w:tc>
        <w:tc>
          <w:tcPr>
            <w:tcW w:type="dxa" w:w="12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~0.86</w:t>
            </w:r>
          </w:p>
        </w:tc>
        <w:tc>
          <w:tcPr>
            <w:tcW w:type="dxa" w:w="1226"/>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~0.85</w:t>
            </w:r>
          </w:p>
        </w:tc>
      </w:tr>
      <w:tr>
        <w:tc>
          <w:tcPr>
            <w:tcW w:type="dxa" w:w="18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XGBoost</w:t>
            </w:r>
          </w:p>
        </w:tc>
        <w:tc>
          <w:tcPr>
            <w:tcW w:type="dxa" w:w="12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~0.86</w:t>
            </w:r>
          </w:p>
        </w:tc>
        <w:tc>
          <w:tcPr>
            <w:tcW w:type="dxa" w:w="12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~0.71</w:t>
            </w:r>
          </w:p>
        </w:tc>
        <w:tc>
          <w:tcPr>
            <w:tcW w:type="dxa" w:w="11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~0.67</w:t>
            </w:r>
          </w:p>
        </w:tc>
        <w:tc>
          <w:tcPr>
            <w:tcW w:type="dxa" w:w="13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~0.69</w:t>
            </w:r>
          </w:p>
        </w:tc>
        <w:tc>
          <w:tcPr>
            <w:tcW w:type="dxa" w:w="12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~0.85</w:t>
            </w:r>
          </w:p>
        </w:tc>
        <w:tc>
          <w:tcPr>
            <w:tcW w:type="dxa" w:w="1226"/>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~0.84</w:t>
            </w:r>
          </w:p>
        </w:tc>
      </w:tr>
      <w:tr>
        <w:tc>
          <w:tcPr>
            <w:tcW w:type="dxa" w:w="18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Random Forest</w:t>
            </w:r>
          </w:p>
        </w:tc>
        <w:tc>
          <w:tcPr>
            <w:tcW w:type="dxa" w:w="12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~0.85</w:t>
            </w:r>
          </w:p>
        </w:tc>
        <w:tc>
          <w:tcPr>
            <w:tcW w:type="dxa" w:w="12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~0.70</w:t>
            </w:r>
          </w:p>
        </w:tc>
        <w:tc>
          <w:tcPr>
            <w:tcW w:type="dxa" w:w="11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~0.65</w:t>
            </w:r>
          </w:p>
        </w:tc>
        <w:tc>
          <w:tcPr>
            <w:tcW w:type="dxa" w:w="13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~0.67</w:t>
            </w:r>
          </w:p>
        </w:tc>
        <w:tc>
          <w:tcPr>
            <w:tcW w:type="dxa" w:w="12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~0.84</w:t>
            </w:r>
          </w:p>
        </w:tc>
        <w:tc>
          <w:tcPr>
            <w:tcW w:type="dxa" w:w="1226"/>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~0.83</w:t>
            </w:r>
          </w:p>
        </w:tc>
      </w:tr>
      <w:tr>
        <w:tc>
          <w:tcPr>
            <w:tcW w:type="dxa" w:w="18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Gradient Boosting</w:t>
            </w:r>
          </w:p>
        </w:tc>
        <w:tc>
          <w:tcPr>
            <w:tcW w:type="dxa" w:w="12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~0.85</w:t>
            </w:r>
          </w:p>
        </w:tc>
        <w:tc>
          <w:tcPr>
            <w:tcW w:type="dxa" w:w="12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~0.69</w:t>
            </w:r>
          </w:p>
        </w:tc>
        <w:tc>
          <w:tcPr>
            <w:tcW w:type="dxa" w:w="11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~0.64</w:t>
            </w:r>
          </w:p>
        </w:tc>
        <w:tc>
          <w:tcPr>
            <w:tcW w:type="dxa" w:w="13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~0.66</w:t>
            </w:r>
          </w:p>
        </w:tc>
        <w:tc>
          <w:tcPr>
            <w:tcW w:type="dxa" w:w="12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~0.83</w:t>
            </w:r>
          </w:p>
        </w:tc>
        <w:tc>
          <w:tcPr>
            <w:tcW w:type="dxa" w:w="1226"/>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~0.82</w:t>
            </w:r>
          </w:p>
        </w:tc>
      </w:tr>
      <w:tr>
        <w:tc>
          <w:tcPr>
            <w:tcW w:type="dxa" w:w="18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Logistic Regression</w:t>
            </w:r>
          </w:p>
        </w:tc>
        <w:tc>
          <w:tcPr>
            <w:tcW w:type="dxa" w:w="12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~0.82</w:t>
            </w:r>
          </w:p>
        </w:tc>
        <w:tc>
          <w:tcPr>
            <w:tcW w:type="dxa" w:w="12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~0.62</w:t>
            </w:r>
          </w:p>
        </w:tc>
        <w:tc>
          <w:tcPr>
            <w:tcW w:type="dxa" w:w="11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~0.58</w:t>
            </w:r>
          </w:p>
        </w:tc>
        <w:tc>
          <w:tcPr>
            <w:tcW w:type="dxa" w:w="13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~0.60</w:t>
            </w:r>
          </w:p>
        </w:tc>
        <w:tc>
          <w:tcPr>
            <w:tcW w:type="dxa" w:w="12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~0.78</w:t>
            </w:r>
          </w:p>
        </w:tc>
        <w:tc>
          <w:tcPr>
            <w:tcW w:type="dxa" w:w="1226"/>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~0.77</w:t>
            </w:r>
          </w:p>
        </w:tc>
      </w:tr>
    </w:tbl>
    <w:p>
      <w:pPr>
        <w:spacing w:before="60" w:after="180"/>
        <w:jc w:val="center"/>
      </w:pPr>
      <w:r>
        <w:rPr>
          <w:rFonts w:ascii="Times New Roman" w:cs="Times New Roman" w:eastAsia="Times New Roman" w:hAnsi="Times New Roman"/>
          <w:i/>
          <w:iCs/>
          <w:color w:val="666666"/>
          <w:sz w:val="20"/>
          <w:szCs w:val="20"/>
        </w:rPr>
        <w:t xml:space="preserve">Tableau 9 : Performances comparatives des cinq algorithmes de classification</w:t>
      </w:r>
    </w:p>
    <w:p>
      <w:pPr>
        <w:spacing w:after="120"/>
      </w:pPr>
      <w:r>
        <w:t xml:space="preserve"/>
      </w:r>
    </w:p>
    <w:p>
      <w:pPr>
        <w:spacing w:line="360" w:after="120"/>
        <w:ind w:firstLine="360"/>
        <w:jc w:val="both"/>
      </w:pPr>
      <w:r>
        <w:rPr>
          <w:rFonts w:ascii="Times New Roman" w:cs="Times New Roman" w:eastAsia="Times New Roman" w:hAnsi="Times New Roman"/>
          <w:color w:val="2C2C2C"/>
          <w:sz w:val="24"/>
          <w:szCs w:val="24"/>
        </w:rPr>
        <w:t xml:space="preserve">Le modèle LightGBM a été retenu comme meilleur modèle selon le critère AUC-ROC (~0.86). Un AUC-ROC de 0.86 signifie que le modèle dispose d'une probabilité de 86 % de distinguer correctement un auditeur qui partira d'un auditeur qui restera, ce qui constitue une performance discriminante très satisfaisante pour un problème RH.</w:t>
      </w:r>
    </w:p>
    <w:p>
      <w:pPr>
        <w:spacing w:after="120"/>
      </w:pPr>
      <w:r>
        <w:t xml:space="preserve"/>
      </w:r>
    </w:p>
    <w:p>
      <w:pPr>
        <w:spacing w:before="160" w:after="100"/>
      </w:pPr>
      <w:r>
        <w:rPr>
          <w:rFonts w:ascii="Times New Roman" w:cs="Times New Roman" w:eastAsia="Times New Roman" w:hAnsi="Times New Roman"/>
          <w:b/>
          <w:bCs/>
          <w:color w:val="004422"/>
          <w:sz w:val="24"/>
          <w:szCs w:val="24"/>
          <w:u w:val="single" w:color="D4A017"/>
        </w:rPr>
        <w:t xml:space="preserve">Classement des variables par importance SHAP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5726"/>
      </w:tblGrid>
      <w:tr>
        <w:trPr>
          <w:tblHeader/>
        </w:trPr>
        <w:tc>
          <w:tcPr>
            <w:tcW w:type="dxa" w:w="800"/>
            <w:tcBorders>
              <w:top w:val="single" w:color="AACFAA" w:sz="1"/>
              <w:left w:val="single" w:color="AACFAA" w:sz="1"/>
              <w:bottom w:val="single" w:color="AACFAA" w:sz="1"/>
              <w:right w:val="single" w:color="AACFAA" w:sz="1"/>
            </w:tcBorders>
            <w:shd w:fill="D4A01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Rang</w:t>
            </w:r>
          </w:p>
        </w:tc>
        <w:tc>
          <w:tcPr>
            <w:tcW w:type="dxa" w:w="2500"/>
            <w:tcBorders>
              <w:top w:val="single" w:color="AACFAA" w:sz="1"/>
              <w:left w:val="single" w:color="AACFAA" w:sz="1"/>
              <w:bottom w:val="single" w:color="AACFAA" w:sz="1"/>
              <w:right w:val="single" w:color="AACFAA" w:sz="1"/>
            </w:tcBorders>
            <w:shd w:fill="D4A01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Variable</w:t>
            </w:r>
          </w:p>
        </w:tc>
        <w:tc>
          <w:tcPr>
            <w:tcW w:type="dxa" w:w="5726"/>
            <w:tcBorders>
              <w:top w:val="single" w:color="AACFAA" w:sz="1"/>
              <w:left w:val="single" w:color="AACFAA" w:sz="1"/>
              <w:bottom w:val="single" w:color="AACFAA" w:sz="1"/>
              <w:right w:val="single" w:color="AACFAA" w:sz="1"/>
            </w:tcBorders>
            <w:shd w:fill="D4A01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Interprétation</w:t>
            </w:r>
          </w:p>
        </w:tc>
      </w:tr>
      <w:tr>
        <w:tc>
          <w:tcPr>
            <w:tcW w:type="dxa" w:w="8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1</w:t>
            </w:r>
          </w:p>
        </w:tc>
        <w:tc>
          <w:tcPr>
            <w:tcW w:type="dxa" w:w="25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OverTime</w:t>
            </w:r>
          </w:p>
        </w:tc>
        <w:tc>
          <w:tcPr>
            <w:tcW w:type="dxa" w:w="5726"/>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Facteur de départ le plus puissant — l'épuisement pousse à la démission</w:t>
            </w:r>
          </w:p>
        </w:tc>
      </w:tr>
      <w:tr>
        <w:tc>
          <w:tcPr>
            <w:tcW w:type="dxa" w:w="8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2</w:t>
            </w:r>
          </w:p>
        </w:tc>
        <w:tc>
          <w:tcPr>
            <w:tcW w:type="dxa" w:w="25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MonthlyIncome</w:t>
            </w:r>
          </w:p>
        </w:tc>
        <w:tc>
          <w:tcPr>
            <w:tcW w:type="dxa" w:w="5726"/>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Un salaire bas est un accélérateur de départ dans un marché compétitif</w:t>
            </w:r>
          </w:p>
        </w:tc>
      </w:tr>
      <w:tr>
        <w:tc>
          <w:tcPr>
            <w:tcW w:type="dxa" w:w="8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3</w:t>
            </w:r>
          </w:p>
        </w:tc>
        <w:tc>
          <w:tcPr>
            <w:tcW w:type="dxa" w:w="25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Age</w:t>
            </w:r>
          </w:p>
        </w:tc>
        <w:tc>
          <w:tcPr>
            <w:tcW w:type="dxa" w:w="5726"/>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Les jeunes auditeurs (&lt; 30 ans) sont plus mobiles et opportunistes</w:t>
            </w:r>
          </w:p>
        </w:tc>
      </w:tr>
      <w:tr>
        <w:tc>
          <w:tcPr>
            <w:tcW w:type="dxa" w:w="8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4</w:t>
            </w:r>
          </w:p>
        </w:tc>
        <w:tc>
          <w:tcPr>
            <w:tcW w:type="dxa" w:w="25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TotalWorkingYears</w:t>
            </w:r>
          </w:p>
        </w:tc>
        <w:tc>
          <w:tcPr>
            <w:tcW w:type="dxa" w:w="5726"/>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Moins d'expérience totale = moins d'ancrage organisationnel</w:t>
            </w:r>
          </w:p>
        </w:tc>
      </w:tr>
      <w:tr>
        <w:tc>
          <w:tcPr>
            <w:tcW w:type="dxa" w:w="8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5</w:t>
            </w:r>
          </w:p>
        </w:tc>
        <w:tc>
          <w:tcPr>
            <w:tcW w:type="dxa" w:w="25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YearsAtCompany</w:t>
            </w:r>
          </w:p>
        </w:tc>
        <w:tc>
          <w:tcPr>
            <w:tcW w:type="dxa" w:w="5726"/>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La période critique de rétention se situe dans les 2–5 premières années</w:t>
            </w:r>
          </w:p>
        </w:tc>
      </w:tr>
      <w:tr>
        <w:tc>
          <w:tcPr>
            <w:tcW w:type="dxa" w:w="8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2C2C2C"/>
                <w:sz w:val="20"/>
                <w:szCs w:val="20"/>
              </w:rPr>
              <w:t xml:space="preserve">6</w:t>
            </w:r>
          </w:p>
        </w:tc>
        <w:tc>
          <w:tcPr>
            <w:tcW w:type="dxa" w:w="25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JobLevel</w:t>
            </w:r>
          </w:p>
        </w:tc>
        <w:tc>
          <w:tcPr>
            <w:tcW w:type="dxa" w:w="5726"/>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Les niveaux inférieurs manquent de perspectives d'évolution claire</w:t>
            </w:r>
          </w:p>
        </w:tc>
      </w:tr>
      <w:tr>
        <w:tc>
          <w:tcPr>
            <w:tcW w:type="dxa" w:w="8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2C2C2C"/>
                <w:sz w:val="20"/>
                <w:szCs w:val="20"/>
              </w:rPr>
              <w:t xml:space="preserve">7</w:t>
            </w:r>
          </w:p>
        </w:tc>
        <w:tc>
          <w:tcPr>
            <w:tcW w:type="dxa" w:w="25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DistanceFromHome</w:t>
            </w:r>
          </w:p>
        </w:tc>
        <w:tc>
          <w:tcPr>
            <w:tcW w:type="dxa" w:w="5726"/>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La fatigue des longs trajets constitue un facteur d'usure progressif</w:t>
            </w:r>
          </w:p>
        </w:tc>
      </w:tr>
      <w:tr>
        <w:tc>
          <w:tcPr>
            <w:tcW w:type="dxa" w:w="8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2C2C2C"/>
                <w:sz w:val="20"/>
                <w:szCs w:val="20"/>
              </w:rPr>
              <w:t xml:space="preserve">8</w:t>
            </w:r>
          </w:p>
        </w:tc>
        <w:tc>
          <w:tcPr>
            <w:tcW w:type="dxa" w:w="25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MaritalStatus</w:t>
            </w:r>
          </w:p>
        </w:tc>
        <w:tc>
          <w:tcPr>
            <w:tcW w:type="dxa" w:w="5726"/>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Les célibataires, plus mobiles, saisissent davantage d'opportunités</w:t>
            </w:r>
          </w:p>
        </w:tc>
      </w:tr>
    </w:tbl>
    <w:p>
      <w:pPr>
        <w:spacing w:before="60" w:after="180"/>
        <w:jc w:val="center"/>
      </w:pPr>
      <w:r>
        <w:rPr>
          <w:rFonts w:ascii="Times New Roman" w:cs="Times New Roman" w:eastAsia="Times New Roman" w:hAnsi="Times New Roman"/>
          <w:i/>
          <w:iCs/>
          <w:color w:val="666666"/>
          <w:sz w:val="20"/>
          <w:szCs w:val="20"/>
        </w:rPr>
        <w:t xml:space="preserve">Tableau 10 : Top 8 des variables selon l'importance SHAP — Modèle LightGBM</w:t>
      </w:r>
    </w:p>
    <w:p>
      <w:pPr>
        <w:spacing w:after="120"/>
      </w:pPr>
      <w:r>
        <w:t xml:space="preserve"/>
      </w:r>
    </w:p>
    <w:p>
      <w:pPr>
        <w:pStyle w:val="Heading2"/>
        <w:spacing w:before="220" w:after="140"/>
      </w:pPr>
      <w:r>
        <w:rPr>
          <w:rFonts w:ascii="Times New Roman" w:cs="Times New Roman" w:eastAsia="Times New Roman" w:hAnsi="Times New Roman"/>
          <w:b/>
          <w:bCs/>
          <w:color w:val="D4A017"/>
          <w:sz w:val="26"/>
          <w:szCs w:val="26"/>
        </w:rPr>
        <w:t xml:space="preserve">III.2 </w:t>
      </w:r>
      <w:r>
        <w:rPr>
          <w:rFonts w:ascii="Times New Roman" w:cs="Times New Roman" w:eastAsia="Times New Roman" w:hAnsi="Times New Roman"/>
          <w:b/>
          <w:bCs/>
          <w:color w:val="004422"/>
          <w:sz w:val="26"/>
          <w:szCs w:val="26"/>
        </w:rPr>
        <w:t xml:space="preserve">Analyse critique et interprétation</w:t>
      </w:r>
    </w:p>
    <w:p>
      <w:pPr>
        <w:spacing w:line="360" w:after="120"/>
        <w:ind w:firstLine="360"/>
        <w:jc w:val="both"/>
      </w:pPr>
      <w:r>
        <w:rPr>
          <w:rFonts w:ascii="Times New Roman" w:cs="Times New Roman" w:eastAsia="Times New Roman" w:hAnsi="Times New Roman"/>
          <w:color w:val="2C2C2C"/>
          <w:sz w:val="24"/>
          <w:szCs w:val="24"/>
        </w:rPr>
        <w:t xml:space="preserve">L'analyse des résultats expérimentaux permet de dégager plusieurs enseignements structurants. La supériorité des méthodes de boosting (LightGBM, XGBoost, Gradient Boosting) sur les approches classiques confirme la littérature existante sur les problèmes de classification déséquilibrée : la construction séquentielle d'arbres, chacun corrigeant les erreurs du précédent, s'avère particulièrement efficace pour apprendre les patterns caractéristiques des départs minoritaires.</w:t>
      </w:r>
    </w:p>
    <w:p>
      <w:pPr>
        <w:spacing w:line="360" w:after="120"/>
        <w:ind w:firstLine="360"/>
        <w:jc w:val="both"/>
      </w:pPr>
      <w:r>
        <w:rPr>
          <w:rFonts w:ascii="Times New Roman" w:cs="Times New Roman" w:eastAsia="Times New Roman" w:hAnsi="Times New Roman"/>
          <w:color w:val="2C2C2C"/>
          <w:sz w:val="24"/>
          <w:szCs w:val="24"/>
        </w:rPr>
        <w:t xml:space="preserve">La Régression Logistique, bien que nettement moins performante (AUC ~0.78), conserve sa valeur en tant que modèle de référence (baseline) et outil de validation des hypothèses de linéarité. Son interprétabilité intrinsèque en fait un complément utile aux modèles complexes.</w:t>
      </w:r>
    </w:p>
    <w:p>
      <w:pPr>
        <w:spacing w:line="360" w:after="120"/>
        <w:ind w:firstLine="360"/>
        <w:jc w:val="both"/>
      </w:pPr>
      <w:r>
        <w:rPr>
          <w:rFonts w:ascii="Times New Roman" w:cs="Times New Roman" w:eastAsia="Times New Roman" w:hAnsi="Times New Roman"/>
          <w:color w:val="2C2C2C"/>
          <w:sz w:val="24"/>
          <w:szCs w:val="24"/>
        </w:rPr>
        <w:t xml:space="preserve">L'analyse SHAP révèle que les variables les plus prédictives — OverTime, MonthlyIncome, Age — sont précisément celles sur lesquelles les directions RH disposent des leviers d'action les plus directs, ce qui transforme un modèle prédictif en un véritable outil d'aide à la décision opérationnelle.</w:t>
      </w:r>
    </w:p>
    <w:p>
      <w:pPr>
        <w:spacing w:after="120"/>
      </w:pPr>
      <w:r>
        <w:t xml:space="preserve"/>
      </w:r>
    </w:p>
    <w:p>
      <w:pPr>
        <w:pStyle w:val="Heading2"/>
        <w:spacing w:before="220" w:after="140"/>
      </w:pPr>
      <w:r>
        <w:rPr>
          <w:rFonts w:ascii="Times New Roman" w:cs="Times New Roman" w:eastAsia="Times New Roman" w:hAnsi="Times New Roman"/>
          <w:b/>
          <w:bCs/>
          <w:color w:val="D4A017"/>
          <w:sz w:val="26"/>
          <w:szCs w:val="26"/>
        </w:rPr>
        <w:t xml:space="preserve">III.3 </w:t>
      </w:r>
      <w:r>
        <w:rPr>
          <w:rFonts w:ascii="Times New Roman" w:cs="Times New Roman" w:eastAsia="Times New Roman" w:hAnsi="Times New Roman"/>
          <w:b/>
          <w:bCs/>
          <w:color w:val="004422"/>
          <w:sz w:val="26"/>
          <w:szCs w:val="26"/>
        </w:rPr>
        <w:t xml:space="preserve">Limites et axes d'amélioration</w:t>
      </w:r>
    </w:p>
    <w:p>
      <w:pPr>
        <w:spacing w:before="160" w:after="100"/>
      </w:pPr>
      <w:r>
        <w:rPr>
          <w:rFonts w:ascii="Times New Roman" w:cs="Times New Roman" w:eastAsia="Times New Roman" w:hAnsi="Times New Roman"/>
          <w:b/>
          <w:bCs/>
          <w:color w:val="004422"/>
          <w:sz w:val="24"/>
          <w:szCs w:val="24"/>
          <w:u w:val="single" w:color="D4A017"/>
        </w:rPr>
        <w:t xml:space="preserve">Limites identifiées</w:t>
      </w:r>
    </w:p>
    <w:p>
      <w:pPr>
        <w:pStyle w:val="ListParagraph"/>
        <w:numPr>
          <w:ilvl w:val="0"/>
          <w:numId w:val="2"/>
        </w:numPr>
        <w:spacing w:line="320" w:after="80"/>
      </w:pPr>
      <w:r>
        <w:rPr>
          <w:rFonts w:ascii="Times New Roman" w:cs="Times New Roman" w:eastAsia="Times New Roman" w:hAnsi="Times New Roman"/>
          <w:color w:val="2C2C2C"/>
          <w:sz w:val="24"/>
          <w:szCs w:val="24"/>
        </w:rPr>
        <w:t xml:space="preserve">Le dataset IBM est américain et peut ne pas refléter fidèlement le contexte spécifique des cabinets d'audit marocains (culture organisationnelle, marché du travail local, niveaux de rémunération).</w:t>
      </w:r>
    </w:p>
    <w:p>
      <w:pPr>
        <w:pStyle w:val="ListParagraph"/>
        <w:numPr>
          <w:ilvl w:val="0"/>
          <w:numId w:val="2"/>
        </w:numPr>
        <w:spacing w:line="320" w:after="80"/>
      </w:pPr>
      <w:r>
        <w:rPr>
          <w:rFonts w:ascii="Times New Roman" w:cs="Times New Roman" w:eastAsia="Times New Roman" w:hAnsi="Times New Roman"/>
          <w:color w:val="2C2C2C"/>
          <w:sz w:val="24"/>
          <w:szCs w:val="24"/>
        </w:rPr>
        <w:t xml:space="preserve">L'absence d'un dataset propre aux auditeurs marocains limite la portée et la généralisation des conclusions à ce contexte.</w:t>
      </w:r>
    </w:p>
    <w:p>
      <w:pPr>
        <w:pStyle w:val="ListParagraph"/>
        <w:numPr>
          <w:ilvl w:val="0"/>
          <w:numId w:val="2"/>
        </w:numPr>
        <w:spacing w:line="320" w:after="80"/>
      </w:pPr>
      <w:r>
        <w:rPr>
          <w:rFonts w:ascii="Times New Roman" w:cs="Times New Roman" w:eastAsia="Times New Roman" w:hAnsi="Times New Roman"/>
          <w:color w:val="2C2C2C"/>
          <w:sz w:val="24"/>
          <w:szCs w:val="24"/>
        </w:rPr>
        <w:t xml:space="preserve">Les hyperparamètres des modèles n'ont pas été optimisés par des techniques avancées (Grid Search, Bayesian Optimization), laissant une marge d'amélioration potentielle.</w:t>
      </w:r>
    </w:p>
    <w:p>
      <w:pPr>
        <w:spacing w:after="80"/>
      </w:pPr>
      <w:r>
        <w:t xml:space="preserve"/>
      </w:r>
    </w:p>
    <w:p>
      <w:pPr>
        <w:spacing w:before="160" w:after="100"/>
      </w:pPr>
      <w:r>
        <w:rPr>
          <w:rFonts w:ascii="Times New Roman" w:cs="Times New Roman" w:eastAsia="Times New Roman" w:hAnsi="Times New Roman"/>
          <w:b/>
          <w:bCs/>
          <w:color w:val="004422"/>
          <w:sz w:val="24"/>
          <w:szCs w:val="24"/>
          <w:u w:val="single" w:color="D4A017"/>
        </w:rPr>
        <w:t xml:space="preserve">Axes d'amélioration</w:t>
      </w:r>
    </w:p>
    <w:p>
      <w:pPr>
        <w:pStyle w:val="ListParagraph"/>
        <w:numPr>
          <w:ilvl w:val="0"/>
          <w:numId w:val="2"/>
        </w:numPr>
        <w:spacing w:line="320" w:after="80"/>
      </w:pPr>
      <w:r>
        <w:rPr>
          <w:rFonts w:ascii="Times New Roman" w:cs="Times New Roman" w:eastAsia="Times New Roman" w:hAnsi="Times New Roman"/>
          <w:color w:val="2C2C2C"/>
          <w:sz w:val="24"/>
          <w:szCs w:val="24"/>
        </w:rPr>
        <w:t xml:space="preserve">Collecter des données RH réelles auprès de cabinets d'audit marocains partenaires (avec anonymisation préalable).</w:t>
      </w:r>
    </w:p>
    <w:p>
      <w:pPr>
        <w:pStyle w:val="ListParagraph"/>
        <w:numPr>
          <w:ilvl w:val="0"/>
          <w:numId w:val="2"/>
        </w:numPr>
        <w:spacing w:line="320" w:after="80"/>
      </w:pPr>
      <w:r>
        <w:rPr>
          <w:rFonts w:ascii="Times New Roman" w:cs="Times New Roman" w:eastAsia="Times New Roman" w:hAnsi="Times New Roman"/>
          <w:color w:val="2C2C2C"/>
          <w:sz w:val="24"/>
          <w:szCs w:val="24"/>
        </w:rPr>
        <w:t xml:space="preserve">Mettre en œuvre une optimisation des hyperparamètres via Optuna ou RandomizedSearchCV.</w:t>
      </w:r>
    </w:p>
    <w:p>
      <w:pPr>
        <w:pStyle w:val="ListParagraph"/>
        <w:numPr>
          <w:ilvl w:val="0"/>
          <w:numId w:val="2"/>
        </w:numPr>
        <w:spacing w:line="320" w:after="80"/>
      </w:pPr>
      <w:r>
        <w:rPr>
          <w:rFonts w:ascii="Times New Roman" w:cs="Times New Roman" w:eastAsia="Times New Roman" w:hAnsi="Times New Roman"/>
          <w:color w:val="2C2C2C"/>
          <w:sz w:val="24"/>
          <w:szCs w:val="24"/>
        </w:rPr>
        <w:t xml:space="preserve">Explorer des modèles neuronaux adaptés aux données tabulaires (TabNet, AutoML).</w:t>
      </w:r>
    </w:p>
    <w:p>
      <w:pPr>
        <w:pStyle w:val="ListParagraph"/>
        <w:numPr>
          <w:ilvl w:val="0"/>
          <w:numId w:val="2"/>
        </w:numPr>
        <w:spacing w:line="320" w:after="80"/>
      </w:pPr>
      <w:r>
        <w:rPr>
          <w:rFonts w:ascii="Times New Roman" w:cs="Times New Roman" w:eastAsia="Times New Roman" w:hAnsi="Times New Roman"/>
          <w:color w:val="2C2C2C"/>
          <w:sz w:val="24"/>
          <w:szCs w:val="24"/>
        </w:rPr>
        <w:t xml:space="preserve">Développer un dashboard interactif de monitoring du risque de turnover en temps réel.</w:t>
      </w:r>
    </w:p>
    <w:p>
      <w:pPr>
        <w:pStyle w:val="ListParagraph"/>
        <w:numPr>
          <w:ilvl w:val="0"/>
          <w:numId w:val="2"/>
        </w:numPr>
        <w:spacing w:line="320" w:after="80"/>
      </w:pPr>
      <w:r>
        <w:rPr>
          <w:rFonts w:ascii="Times New Roman" w:cs="Times New Roman" w:eastAsia="Times New Roman" w:hAnsi="Times New Roman"/>
          <w:color w:val="2C2C2C"/>
          <w:sz w:val="24"/>
          <w:szCs w:val="24"/>
        </w:rPr>
        <w:t xml:space="preserve">Intégrer des données temporelles pour un suivi longitudinal des indicateurs RH.</w:t>
      </w:r>
    </w:p>
    <w:p>
      <w:r>
        <w:br w:type="page"/>
      </w:r>
    </w:p>
    <w:p>
      <w:pPr>
        <w:pStyle w:val="Heading1"/>
        <w:pBdr>
          <w:bottom w:val="single" w:color="D4A017" w:sz="4" w:space="2"/>
        </w:pBdr>
        <w:spacing w:before="320" w:after="180"/>
      </w:pPr>
      <w:r>
        <w:rPr>
          <w:rFonts w:ascii="Times New Roman" w:cs="Times New Roman" w:eastAsia="Times New Roman" w:hAnsi="Times New Roman"/>
          <w:b/>
          <w:bCs/>
          <w:color w:val="D4A017"/>
          <w:sz w:val="30"/>
          <w:szCs w:val="30"/>
        </w:rPr>
        <w:t xml:space="preserve">IV. </w:t>
      </w:r>
      <w:r>
        <w:rPr>
          <w:rFonts w:ascii="Times New Roman" w:cs="Times New Roman" w:eastAsia="Times New Roman" w:hAnsi="Times New Roman"/>
          <w:b/>
          <w:bCs/>
          <w:color w:val="006633"/>
          <w:sz w:val="30"/>
          <w:szCs w:val="30"/>
        </w:rPr>
        <w:t xml:space="preserve">RECOMMANDATIONS MÉTIER</w:t>
      </w:r>
    </w:p>
    <w:p>
      <w:pPr>
        <w:spacing w:line="360" w:after="120"/>
        <w:ind w:firstLine="360"/>
        <w:jc w:val="both"/>
      </w:pPr>
      <w:r>
        <w:rPr>
          <w:rFonts w:ascii="Times New Roman" w:cs="Times New Roman" w:eastAsia="Times New Roman" w:hAnsi="Times New Roman"/>
          <w:color w:val="2C2C2C"/>
          <w:sz w:val="24"/>
          <w:szCs w:val="24"/>
        </w:rPr>
        <w:t xml:space="preserve">Sur la base des résultats analytiques et des insights SHAP, les recommandations suivantes sont formulées à l'attention des cabinets d'audit et directions d'audit interne marocains. Ces recommandations s'articulent en deux horizons temporels complémentaires.</w:t>
      </w:r>
    </w:p>
    <w:p>
      <w:pPr>
        <w:spacing w:after="120"/>
      </w:pPr>
      <w:r>
        <w:t xml:space="preserve"/>
      </w:r>
    </w:p>
    <w:p>
      <w:pPr>
        <w:pStyle w:val="Heading2"/>
        <w:spacing w:before="220" w:after="140"/>
      </w:pPr>
      <w:r>
        <w:rPr>
          <w:rFonts w:ascii="Times New Roman" w:cs="Times New Roman" w:eastAsia="Times New Roman" w:hAnsi="Times New Roman"/>
          <w:b/>
          <w:bCs/>
          <w:color w:val="D4A017"/>
          <w:sz w:val="26"/>
          <w:szCs w:val="26"/>
        </w:rPr>
        <w:t xml:space="preserve">IV.1 </w:t>
      </w:r>
      <w:r>
        <w:rPr>
          <w:rFonts w:ascii="Times New Roman" w:cs="Times New Roman" w:eastAsia="Times New Roman" w:hAnsi="Times New Roman"/>
          <w:b/>
          <w:bCs/>
          <w:color w:val="004422"/>
          <w:sz w:val="26"/>
          <w:szCs w:val="26"/>
        </w:rPr>
        <w:t xml:space="preserve">Actions prioritaires — Court terme</w:t>
      </w:r>
    </w:p>
    <w:p>
      <w:pPr>
        <w:spacing w:line="360" w:after="120"/>
        <w:ind w:firstLine="360"/>
        <w:jc w:val="both"/>
      </w:pPr>
      <w:r>
        <w:rPr>
          <w:rFonts w:ascii="Times New Roman" w:cs="Times New Roman" w:eastAsia="Times New Roman" w:hAnsi="Times New Roman"/>
          <w:b/>
          <w:bCs/>
          <w:color w:val="D4A017"/>
          <w:sz w:val="24"/>
          <w:szCs w:val="24"/>
        </w:rPr>
        <w:t xml:space="preserve">R1 — Gérer les heures supplémentaires (OverTime) : </w:t>
      </w:r>
      <w:r>
        <w:rPr>
          <w:rFonts w:ascii="Times New Roman" w:cs="Times New Roman" w:eastAsia="Times New Roman" w:hAnsi="Times New Roman"/>
          <w:color w:val="2C2C2C"/>
          <w:sz w:val="24"/>
          <w:szCs w:val="24"/>
        </w:rPr>
        <w:t xml:space="preserve">Il convient de mettre en place une politique stricte de limitation des heures supplémentaires, ou à défaut une compensation attractive. L'OverTime étant de loin le prédicteur le plus puissant du départ, une action immédiate sur ce levier est susceptible de produire un impact significatif sur le taux d'attrition.</w:t>
      </w:r>
    </w:p>
    <w:p>
      <w:pPr>
        <w:spacing w:after="80"/>
      </w:pPr>
      <w:r>
        <w:t xml:space="preserve"/>
      </w:r>
    </w:p>
    <w:p>
      <w:pPr>
        <w:spacing w:line="360" w:after="120"/>
        <w:ind w:firstLine="360"/>
        <w:jc w:val="both"/>
      </w:pPr>
      <w:r>
        <w:rPr>
          <w:rFonts w:ascii="Times New Roman" w:cs="Times New Roman" w:eastAsia="Times New Roman" w:hAnsi="Times New Roman"/>
          <w:b/>
          <w:bCs/>
          <w:color w:val="D4A017"/>
          <w:sz w:val="24"/>
          <w:szCs w:val="24"/>
        </w:rPr>
        <w:t xml:space="preserve">R2 — Réviser la politique de rémunération : </w:t>
      </w:r>
      <w:r>
        <w:rPr>
          <w:rFonts w:ascii="Times New Roman" w:cs="Times New Roman" w:eastAsia="Times New Roman" w:hAnsi="Times New Roman"/>
          <w:color w:val="2C2C2C"/>
          <w:sz w:val="24"/>
          <w:szCs w:val="24"/>
        </w:rPr>
        <w:t xml:space="preserve">Il est recommandé d'aligner les grilles salariales avec les standards du marché marocain de l'audit (enquêtes OECCA, Heidrick &amp; Struggles). Un audit salarial annuel permettrait d'identifier et de corriger les déséquilibres avant qu'ils ne se traduisent par des départs.</w:t>
      </w:r>
    </w:p>
    <w:p>
      <w:pPr>
        <w:spacing w:after="80"/>
      </w:pPr>
      <w:r>
        <w:t xml:space="preserve"/>
      </w:r>
    </w:p>
    <w:p>
      <w:pPr>
        <w:spacing w:line="360" w:after="120"/>
        <w:ind w:firstLine="360"/>
        <w:jc w:val="both"/>
      </w:pPr>
      <w:r>
        <w:rPr>
          <w:rFonts w:ascii="Times New Roman" w:cs="Times New Roman" w:eastAsia="Times New Roman" w:hAnsi="Times New Roman"/>
          <w:b/>
          <w:bCs/>
          <w:color w:val="D4A017"/>
          <w:sz w:val="24"/>
          <w:szCs w:val="24"/>
        </w:rPr>
        <w:t xml:space="preserve">R3 — Entretiens de rétention proactifs : </w:t>
      </w:r>
      <w:r>
        <w:rPr>
          <w:rFonts w:ascii="Times New Roman" w:cs="Times New Roman" w:eastAsia="Times New Roman" w:hAnsi="Times New Roman"/>
          <w:color w:val="2C2C2C"/>
          <w:sz w:val="24"/>
          <w:szCs w:val="24"/>
        </w:rPr>
        <w:t xml:space="preserve">Il est proposé d'utiliser le modèle pour identifier les auditeurs à risque élevé (probabilité &gt; 70 %) et de déclencher des entretiens individuels avant que la décision de démission ne soit arrêtée.</w:t>
      </w:r>
    </w:p>
    <w:p>
      <w:pPr>
        <w:spacing w:after="120"/>
      </w:pPr>
      <w:r>
        <w:t xml:space="preserve"/>
      </w:r>
    </w:p>
    <w:p>
      <w:pPr>
        <w:pStyle w:val="Heading2"/>
        <w:spacing w:before="220" w:after="140"/>
      </w:pPr>
      <w:r>
        <w:rPr>
          <w:rFonts w:ascii="Times New Roman" w:cs="Times New Roman" w:eastAsia="Times New Roman" w:hAnsi="Times New Roman"/>
          <w:b/>
          <w:bCs/>
          <w:color w:val="D4A017"/>
          <w:sz w:val="26"/>
          <w:szCs w:val="26"/>
        </w:rPr>
        <w:t xml:space="preserve">IV.2 </w:t>
      </w:r>
      <w:r>
        <w:rPr>
          <w:rFonts w:ascii="Times New Roman" w:cs="Times New Roman" w:eastAsia="Times New Roman" w:hAnsi="Times New Roman"/>
          <w:b/>
          <w:bCs/>
          <w:color w:val="004422"/>
          <w:sz w:val="26"/>
          <w:szCs w:val="26"/>
        </w:rPr>
        <w:t xml:space="preserve">Actions structurelles — Moyen terme</w:t>
      </w:r>
    </w:p>
    <w:p>
      <w:pPr>
        <w:spacing w:line="360" w:after="120"/>
        <w:ind w:firstLine="360"/>
        <w:jc w:val="both"/>
      </w:pPr>
      <w:r>
        <w:rPr>
          <w:rFonts w:ascii="Times New Roman" w:cs="Times New Roman" w:eastAsia="Times New Roman" w:hAnsi="Times New Roman"/>
          <w:b/>
          <w:bCs/>
          <w:color w:val="D4A017"/>
          <w:sz w:val="24"/>
          <w:szCs w:val="24"/>
        </w:rPr>
        <w:t xml:space="preserve">R4 — Clarifier les plans de carrière : </w:t>
      </w:r>
      <w:r>
        <w:rPr>
          <w:rFonts w:ascii="Times New Roman" w:cs="Times New Roman" w:eastAsia="Times New Roman" w:hAnsi="Times New Roman"/>
          <w:color w:val="2C2C2C"/>
          <w:sz w:val="24"/>
          <w:szCs w:val="24"/>
        </w:rPr>
        <w:t xml:space="preserve">Des trajectoires d'évolution transparentes et rapides doivent être proposées aux jeunes auditeurs (ancienneté &lt; 5 ans). La stagnation perçue constitue un moteur de départ particulièrement puissant dans ce profil.</w:t>
      </w:r>
    </w:p>
    <w:p>
      <w:pPr>
        <w:spacing w:after="80"/>
      </w:pPr>
      <w:r>
        <w:t xml:space="preserve"/>
      </w:r>
    </w:p>
    <w:p>
      <w:pPr>
        <w:spacing w:line="360" w:after="120"/>
        <w:ind w:firstLine="360"/>
        <w:jc w:val="both"/>
      </w:pPr>
      <w:r>
        <w:rPr>
          <w:rFonts w:ascii="Times New Roman" w:cs="Times New Roman" w:eastAsia="Times New Roman" w:hAnsi="Times New Roman"/>
          <w:b/>
          <w:bCs/>
          <w:color w:val="D4A017"/>
          <w:sz w:val="24"/>
          <w:szCs w:val="24"/>
        </w:rPr>
        <w:t xml:space="preserve">R5 — Améliorer l'équilibre vie professionnelle / personnelle : </w:t>
      </w:r>
      <w:r>
        <w:rPr>
          <w:rFonts w:ascii="Times New Roman" w:cs="Times New Roman" w:eastAsia="Times New Roman" w:hAnsi="Times New Roman"/>
          <w:color w:val="2C2C2C"/>
          <w:sz w:val="24"/>
          <w:szCs w:val="24"/>
        </w:rPr>
        <w:t xml:space="preserve">La mise en œuvre de dispositifs concrets est recommandée : télétravail partiel, flexibilité des horaires, limitation des missions longue durée hors site, transport ou indemnité kilométrique pour les collaborateurs éloignés.</w:t>
      </w:r>
    </w:p>
    <w:p>
      <w:pPr>
        <w:spacing w:after="80"/>
      </w:pPr>
      <w:r>
        <w:t xml:space="preserve"/>
      </w:r>
    </w:p>
    <w:p>
      <w:pPr>
        <w:spacing w:line="360" w:after="120"/>
        <w:ind w:firstLine="360"/>
        <w:jc w:val="both"/>
      </w:pPr>
      <w:r>
        <w:rPr>
          <w:rFonts w:ascii="Times New Roman" w:cs="Times New Roman" w:eastAsia="Times New Roman" w:hAnsi="Times New Roman"/>
          <w:b/>
          <w:bCs/>
          <w:color w:val="D4A017"/>
          <w:sz w:val="24"/>
          <w:szCs w:val="24"/>
        </w:rPr>
        <w:t xml:space="preserve">R6 — Renforcer les programmes de formation continue : </w:t>
      </w:r>
      <w:r>
        <w:rPr>
          <w:rFonts w:ascii="Times New Roman" w:cs="Times New Roman" w:eastAsia="Times New Roman" w:hAnsi="Times New Roman"/>
          <w:color w:val="2C2C2C"/>
          <w:sz w:val="24"/>
          <w:szCs w:val="24"/>
        </w:rPr>
        <w:t xml:space="preserve">Un investissement dans la montée en compétences (certifications CIA, CISA, normes IFRS, IA appliquée à l'audit) constitue à la fois un levier de rétention et un facteur d'attractivité sur le marché des talents.</w:t>
      </w:r>
    </w:p>
    <w:p>
      <w:pPr>
        <w:spacing w:after="80"/>
      </w:pPr>
      <w:r>
        <w:t xml:space="preserve"/>
      </w:r>
    </w:p>
    <w:p>
      <w:pPr>
        <w:spacing w:line="360" w:after="120"/>
        <w:ind w:firstLine="360"/>
        <w:jc w:val="both"/>
      </w:pPr>
      <w:r>
        <w:rPr>
          <w:rFonts w:ascii="Times New Roman" w:cs="Times New Roman" w:eastAsia="Times New Roman" w:hAnsi="Times New Roman"/>
          <w:b/>
          <w:bCs/>
          <w:color w:val="D4A017"/>
          <w:sz w:val="24"/>
          <w:szCs w:val="24"/>
        </w:rPr>
        <w:t xml:space="preserve">R7 — Optimiser la relation manager–auditeur : </w:t>
      </w:r>
      <w:r>
        <w:rPr>
          <w:rFonts w:ascii="Times New Roman" w:cs="Times New Roman" w:eastAsia="Times New Roman" w:hAnsi="Times New Roman"/>
          <w:color w:val="2C2C2C"/>
          <w:sz w:val="24"/>
          <w:szCs w:val="24"/>
        </w:rPr>
        <w:t xml:space="preserve">La variable YearsWithCurrManager confirme que la qualité du management direct est un facteur de rétention déterminant. Il est recommandé de former les managers seniors à la détection précoce et à la gestion du risque de départ.</w:t>
      </w:r>
    </w:p>
    <w:p>
      <w:pPr>
        <w:spacing w:after="120"/>
      </w:pPr>
      <w:r>
        <w:t xml:space="preserve"/>
      </w:r>
    </w:p>
    <w:p>
      <w:pPr>
        <w:pStyle w:val="Heading2"/>
        <w:spacing w:before="220" w:after="140"/>
      </w:pPr>
      <w:r>
        <w:rPr>
          <w:rFonts w:ascii="Times New Roman" w:cs="Times New Roman" w:eastAsia="Times New Roman" w:hAnsi="Times New Roman"/>
          <w:b/>
          <w:bCs/>
          <w:color w:val="D4A017"/>
          <w:sz w:val="26"/>
          <w:szCs w:val="26"/>
        </w:rPr>
        <w:t xml:space="preserve">IV.3 </w:t>
      </w:r>
      <w:r>
        <w:rPr>
          <w:rFonts w:ascii="Times New Roman" w:cs="Times New Roman" w:eastAsia="Times New Roman" w:hAnsi="Times New Roman"/>
          <w:b/>
          <w:bCs/>
          <w:color w:val="004422"/>
          <w:sz w:val="26"/>
          <w:szCs w:val="26"/>
        </w:rPr>
        <w:t xml:space="preserve">Indicateurs de suivi recommandés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rPr>
          <w:tblHeader/>
        </w:trPr>
        <w:tc>
          <w:tcPr>
            <w:tcW w:type="dxa" w:w="3000"/>
            <w:tcBorders>
              <w:top w:val="single" w:color="AACFAA" w:sz="1"/>
              <w:left w:val="single" w:color="AACFAA" w:sz="1"/>
              <w:bottom w:val="single" w:color="AACFAA" w:sz="1"/>
              <w:right w:val="single" w:color="AACFAA" w:sz="1"/>
            </w:tcBorders>
            <w:shd w:fill="00663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KPI</w:t>
            </w:r>
          </w:p>
        </w:tc>
        <w:tc>
          <w:tcPr>
            <w:tcW w:type="dxa" w:w="2500"/>
            <w:tcBorders>
              <w:top w:val="single" w:color="AACFAA" w:sz="1"/>
              <w:left w:val="single" w:color="AACFAA" w:sz="1"/>
              <w:bottom w:val="single" w:color="AACFAA" w:sz="1"/>
              <w:right w:val="single" w:color="AACFAA" w:sz="1"/>
            </w:tcBorders>
            <w:shd w:fill="00663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Cible</w:t>
            </w:r>
          </w:p>
        </w:tc>
        <w:tc>
          <w:tcPr>
            <w:tcW w:type="dxa" w:w="3526"/>
            <w:tcBorders>
              <w:top w:val="single" w:color="AACFAA" w:sz="1"/>
              <w:left w:val="single" w:color="AACFAA" w:sz="1"/>
              <w:bottom w:val="single" w:color="AACFAA" w:sz="1"/>
              <w:right w:val="single" w:color="AACFAA" w:sz="1"/>
            </w:tcBorders>
            <w:shd w:fill="00663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Fréquence de suivi</w:t>
            </w:r>
          </w:p>
        </w:tc>
      </w:tr>
      <w:tr>
        <w:tc>
          <w:tcPr>
            <w:tcW w:type="dxa" w:w="30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Taux de turnover global</w:t>
            </w:r>
          </w:p>
        </w:tc>
        <w:tc>
          <w:tcPr>
            <w:tcW w:type="dxa" w:w="25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&lt; 15 %</w:t>
            </w:r>
          </w:p>
        </w:tc>
        <w:tc>
          <w:tcPr>
            <w:tcW w:type="dxa" w:w="3526"/>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Annuel</w:t>
            </w:r>
          </w:p>
        </w:tc>
      </w:tr>
      <w:tr>
        <w:tc>
          <w:tcPr>
            <w:tcW w:type="dxa" w:w="30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 d'auditeurs à risque élevé (modèle)</w:t>
            </w:r>
          </w:p>
        </w:tc>
        <w:tc>
          <w:tcPr>
            <w:tcW w:type="dxa" w:w="25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&lt; 10 %</w:t>
            </w:r>
          </w:p>
        </w:tc>
        <w:tc>
          <w:tcPr>
            <w:tcW w:type="dxa" w:w="3526"/>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Trimestriel</w:t>
            </w:r>
          </w:p>
        </w:tc>
      </w:tr>
      <w:tr>
        <w:tc>
          <w:tcPr>
            <w:tcW w:type="dxa" w:w="30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Score WorkLifeBalance moyen</w:t>
            </w:r>
          </w:p>
        </w:tc>
        <w:tc>
          <w:tcPr>
            <w:tcW w:type="dxa" w:w="25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 3/4</w:t>
            </w:r>
          </w:p>
        </w:tc>
        <w:tc>
          <w:tcPr>
            <w:tcW w:type="dxa" w:w="3526"/>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Semestriel</w:t>
            </w:r>
          </w:p>
        </w:tc>
      </w:tr>
      <w:tr>
        <w:tc>
          <w:tcPr>
            <w:tcW w:type="dxa" w:w="30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 d'auditeurs avec plan de carrière formalisé</w:t>
            </w:r>
          </w:p>
        </w:tc>
        <w:tc>
          <w:tcPr>
            <w:tcW w:type="dxa" w:w="25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&gt; 80 %</w:t>
            </w:r>
          </w:p>
        </w:tc>
        <w:tc>
          <w:tcPr>
            <w:tcW w:type="dxa" w:w="3526"/>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Annuel</w:t>
            </w:r>
          </w:p>
        </w:tc>
      </w:tr>
      <w:tr>
        <w:tc>
          <w:tcPr>
            <w:tcW w:type="dxa" w:w="30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Taux de satisfaction au travail (JobSatisfaction)</w:t>
            </w:r>
          </w:p>
        </w:tc>
        <w:tc>
          <w:tcPr>
            <w:tcW w:type="dxa" w:w="25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 3.5/4</w:t>
            </w:r>
          </w:p>
        </w:tc>
        <w:tc>
          <w:tcPr>
            <w:tcW w:type="dxa" w:w="3526"/>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Annuel</w:t>
            </w:r>
          </w:p>
        </w:tc>
      </w:tr>
    </w:tbl>
    <w:p>
      <w:pPr>
        <w:spacing w:before="60" w:after="180"/>
        <w:jc w:val="center"/>
      </w:pPr>
      <w:r>
        <w:rPr>
          <w:rFonts w:ascii="Times New Roman" w:cs="Times New Roman" w:eastAsia="Times New Roman" w:hAnsi="Times New Roman"/>
          <w:i/>
          <w:iCs/>
          <w:color w:val="666666"/>
          <w:sz w:val="20"/>
          <w:szCs w:val="20"/>
        </w:rPr>
        <w:t xml:space="preserve">Tableau 11 : Tableau de bord des indicateurs de suivi RH recommandés</w:t>
      </w:r>
    </w:p>
    <w:p>
      <w:r>
        <w:br w:type="page"/>
      </w:r>
    </w:p>
    <w:p>
      <w:pPr>
        <w:pStyle w:val="Heading1"/>
        <w:pBdr>
          <w:bottom w:val="single" w:color="D4A017" w:sz="4" w:space="2"/>
        </w:pBdr>
        <w:spacing w:before="320" w:after="180"/>
      </w:pPr>
      <w:r>
        <w:rPr>
          <w:rFonts w:ascii="Times New Roman" w:cs="Times New Roman" w:eastAsia="Times New Roman" w:hAnsi="Times New Roman"/>
          <w:b/>
          <w:bCs/>
          <w:color w:val="D4A017"/>
          <w:sz w:val="30"/>
          <w:szCs w:val="30"/>
        </w:rPr>
        <w:t xml:space="preserve">V. </w:t>
      </w:r>
      <w:r>
        <w:rPr>
          <w:rFonts w:ascii="Times New Roman" w:cs="Times New Roman" w:eastAsia="Times New Roman" w:hAnsi="Times New Roman"/>
          <w:b/>
          <w:bCs/>
          <w:color w:val="006633"/>
          <w:sz w:val="30"/>
          <w:szCs w:val="30"/>
        </w:rPr>
        <w:t xml:space="preserve">CONCLUSION</w:t>
      </w:r>
    </w:p>
    <w:p>
      <w:pPr>
        <w:pStyle w:val="Heading2"/>
        <w:spacing w:before="220" w:after="140"/>
      </w:pPr>
      <w:r>
        <w:rPr>
          <w:rFonts w:ascii="Times New Roman" w:cs="Times New Roman" w:eastAsia="Times New Roman" w:hAnsi="Times New Roman"/>
          <w:b/>
          <w:bCs/>
          <w:color w:val="D4A017"/>
          <w:sz w:val="26"/>
          <w:szCs w:val="26"/>
        </w:rPr>
        <w:t xml:space="preserve">V.1 </w:t>
      </w:r>
      <w:r>
        <w:rPr>
          <w:rFonts w:ascii="Times New Roman" w:cs="Times New Roman" w:eastAsia="Times New Roman" w:hAnsi="Times New Roman"/>
          <w:b/>
          <w:bCs/>
          <w:color w:val="004422"/>
          <w:sz w:val="26"/>
          <w:szCs w:val="26"/>
        </w:rPr>
        <w:t xml:space="preserve">Synthèse des résultats</w:t>
      </w:r>
    </w:p>
    <w:p>
      <w:pPr>
        <w:spacing w:line="360" w:after="120"/>
        <w:ind w:firstLine="360"/>
        <w:jc w:val="both"/>
      </w:pPr>
      <w:r>
        <w:rPr>
          <w:rFonts w:ascii="Times New Roman" w:cs="Times New Roman" w:eastAsia="Times New Roman" w:hAnsi="Times New Roman"/>
          <w:color w:val="2C2C2C"/>
          <w:sz w:val="24"/>
          <w:szCs w:val="24"/>
        </w:rPr>
        <w:t xml:space="preserve">Ce projet a démontré la faisabilité et la valeur ajoutée du Machine Learning appliqué à la problématique RH du turnover des auditeurs internes. L'ensemble des étapes définies en introduction ont été menées à leur terme, depuis la préparation des données jusqu'à la formulation de recommandations actionnables.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4626"/>
      </w:tblGrid>
      <w:tr>
        <w:trPr>
          <w:tblHeader/>
        </w:trPr>
        <w:tc>
          <w:tcPr>
            <w:tcW w:type="dxa" w:w="400"/>
            <w:tcBorders>
              <w:top w:val="single" w:color="AACFAA" w:sz="1"/>
              <w:left w:val="single" w:color="AACFAA" w:sz="1"/>
              <w:bottom w:val="single" w:color="AACFAA" w:sz="1"/>
              <w:right w:val="single" w:color="AACFAA" w:sz="1"/>
            </w:tcBorders>
            <w:shd w:fill="00663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w:t>
            </w:r>
          </w:p>
        </w:tc>
        <w:tc>
          <w:tcPr>
            <w:tcW w:type="dxa" w:w="4000"/>
            <w:tcBorders>
              <w:top w:val="single" w:color="AACFAA" w:sz="1"/>
              <w:left w:val="single" w:color="AACFAA" w:sz="1"/>
              <w:bottom w:val="single" w:color="AACFAA" w:sz="1"/>
              <w:right w:val="single" w:color="AACFAA" w:sz="1"/>
            </w:tcBorders>
            <w:shd w:fill="00663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Étape</w:t>
            </w:r>
          </w:p>
        </w:tc>
        <w:tc>
          <w:tcPr>
            <w:tcW w:type="dxa" w:w="4626"/>
            <w:tcBorders>
              <w:top w:val="single" w:color="AACFAA" w:sz="1"/>
              <w:left w:val="single" w:color="AACFAA" w:sz="1"/>
              <w:bottom w:val="single" w:color="AACFAA" w:sz="1"/>
              <w:right w:val="single" w:color="AACFAA" w:sz="1"/>
            </w:tcBorders>
            <w:shd w:fill="00663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Statut</w:t>
            </w:r>
          </w:p>
        </w:tc>
      </w:tr>
      <w:tr>
        <w:tc>
          <w:tcPr>
            <w:tcW w:type="dxa" w:w="4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1</w:t>
            </w:r>
          </w:p>
        </w:tc>
        <w:tc>
          <w:tcPr>
            <w:tcW w:type="dxa" w:w="40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Installation et importation des bibliothèques</w:t>
            </w:r>
          </w:p>
        </w:tc>
        <w:tc>
          <w:tcPr>
            <w:tcW w:type="dxa" w:w="4626"/>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Complété</w:t>
            </w:r>
          </w:p>
        </w:tc>
      </w:tr>
      <w:tr>
        <w:tc>
          <w:tcPr>
            <w:tcW w:type="dxa" w:w="4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2</w:t>
            </w:r>
          </w:p>
        </w:tc>
        <w:tc>
          <w:tcPr>
            <w:tcW w:type="dxa" w:w="40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Chargement du dataset IBM HR Analytics</w:t>
            </w:r>
          </w:p>
        </w:tc>
        <w:tc>
          <w:tcPr>
            <w:tcW w:type="dxa" w:w="4626"/>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Complété</w:t>
            </w:r>
          </w:p>
        </w:tc>
      </w:tr>
      <w:tr>
        <w:tc>
          <w:tcPr>
            <w:tcW w:type="dxa" w:w="4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3</w:t>
            </w:r>
          </w:p>
        </w:tc>
        <w:tc>
          <w:tcPr>
            <w:tcW w:type="dxa" w:w="40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Exploration (EDA) : distributions, corrélations</w:t>
            </w:r>
          </w:p>
        </w:tc>
        <w:tc>
          <w:tcPr>
            <w:tcW w:type="dxa" w:w="4626"/>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Complété</w:t>
            </w:r>
          </w:p>
        </w:tc>
      </w:tr>
      <w:tr>
        <w:tc>
          <w:tcPr>
            <w:tcW w:type="dxa" w:w="4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4</w:t>
            </w:r>
          </w:p>
        </w:tc>
        <w:tc>
          <w:tcPr>
            <w:tcW w:type="dxa" w:w="40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Prétraitement : encodage, SMOTE, normalisation</w:t>
            </w:r>
          </w:p>
        </w:tc>
        <w:tc>
          <w:tcPr>
            <w:tcW w:type="dxa" w:w="4626"/>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Complété</w:t>
            </w:r>
          </w:p>
        </w:tc>
      </w:tr>
      <w:tr>
        <w:tc>
          <w:tcPr>
            <w:tcW w:type="dxa" w:w="4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5</w:t>
            </w:r>
          </w:p>
        </w:tc>
        <w:tc>
          <w:tcPr>
            <w:tcW w:type="dxa" w:w="40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Modélisation : 5 modèles avec validation croisée</w:t>
            </w:r>
          </w:p>
        </w:tc>
        <w:tc>
          <w:tcPr>
            <w:tcW w:type="dxa" w:w="4626"/>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Complété</w:t>
            </w:r>
          </w:p>
        </w:tc>
      </w:tr>
      <w:tr>
        <w:tc>
          <w:tcPr>
            <w:tcW w:type="dxa" w:w="4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2C2C2C"/>
                <w:sz w:val="20"/>
                <w:szCs w:val="20"/>
              </w:rPr>
              <w:t xml:space="preserve">6</w:t>
            </w:r>
          </w:p>
        </w:tc>
        <w:tc>
          <w:tcPr>
            <w:tcW w:type="dxa" w:w="40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Évaluation : AUC-ROC, F1, Recall, courbes ROC</w:t>
            </w:r>
          </w:p>
        </w:tc>
        <w:tc>
          <w:tcPr>
            <w:tcW w:type="dxa" w:w="4626"/>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Complété</w:t>
            </w:r>
          </w:p>
        </w:tc>
      </w:tr>
      <w:tr>
        <w:tc>
          <w:tcPr>
            <w:tcW w:type="dxa" w:w="4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2C2C2C"/>
                <w:sz w:val="20"/>
                <w:szCs w:val="20"/>
              </w:rPr>
              <w:t xml:space="preserve">7</w:t>
            </w:r>
          </w:p>
        </w:tc>
        <w:tc>
          <w:tcPr>
            <w:tcW w:type="dxa" w:w="40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Interprétabilité : SHAP values, feature importance</w:t>
            </w:r>
          </w:p>
        </w:tc>
        <w:tc>
          <w:tcPr>
            <w:tcW w:type="dxa" w:w="4626"/>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Complété</w:t>
            </w:r>
          </w:p>
        </w:tc>
      </w:tr>
      <w:tr>
        <w:tc>
          <w:tcPr>
            <w:tcW w:type="dxa" w:w="4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2C2C2C"/>
                <w:sz w:val="20"/>
                <w:szCs w:val="20"/>
              </w:rPr>
              <w:t xml:space="preserve">8</w:t>
            </w:r>
          </w:p>
        </w:tc>
        <w:tc>
          <w:tcPr>
            <w:tcW w:type="dxa" w:w="40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Recommandations métier et simulation individuelle</w:t>
            </w:r>
          </w:p>
        </w:tc>
        <w:tc>
          <w:tcPr>
            <w:tcW w:type="dxa" w:w="4626"/>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Complété</w:t>
            </w:r>
          </w:p>
        </w:tc>
      </w:tr>
    </w:tbl>
    <w:p>
      <w:pPr>
        <w:spacing w:before="60" w:after="180"/>
        <w:jc w:val="center"/>
      </w:pPr>
      <w:r>
        <w:rPr>
          <w:rFonts w:ascii="Times New Roman" w:cs="Times New Roman" w:eastAsia="Times New Roman" w:hAnsi="Times New Roman"/>
          <w:i/>
          <w:iCs/>
          <w:color w:val="666666"/>
          <w:sz w:val="20"/>
          <w:szCs w:val="20"/>
        </w:rPr>
        <w:t xml:space="preserve">Tableau 12 : Récapitulatif des étapes réalisées</w:t>
      </w:r>
    </w:p>
    <w:p>
      <w:pPr>
        <w:spacing w:after="120"/>
      </w:pPr>
      <w:r>
        <w:t xml:space="preserve"/>
      </w:r>
    </w:p>
    <w:p>
      <w:pPr>
        <w:pStyle w:val="Heading2"/>
        <w:spacing w:before="220" w:after="140"/>
      </w:pPr>
      <w:r>
        <w:rPr>
          <w:rFonts w:ascii="Times New Roman" w:cs="Times New Roman" w:eastAsia="Times New Roman" w:hAnsi="Times New Roman"/>
          <w:b/>
          <w:bCs/>
          <w:color w:val="D4A017"/>
          <w:sz w:val="26"/>
          <w:szCs w:val="26"/>
        </w:rPr>
        <w:t xml:space="preserve">V.2 </w:t>
      </w:r>
      <w:r>
        <w:rPr>
          <w:rFonts w:ascii="Times New Roman" w:cs="Times New Roman" w:eastAsia="Times New Roman" w:hAnsi="Times New Roman"/>
          <w:b/>
          <w:bCs/>
          <w:color w:val="004422"/>
          <w:sz w:val="26"/>
          <w:szCs w:val="26"/>
        </w:rPr>
        <w:t xml:space="preserve">Principaux enseignements</w:t>
      </w:r>
    </w:p>
    <w:p>
      <w:pPr>
        <w:pStyle w:val="ListParagraph"/>
        <w:numPr>
          <w:ilvl w:val="0"/>
          <w:numId w:val="2"/>
        </w:numPr>
        <w:spacing w:line="320" w:after="80"/>
      </w:pPr>
      <w:r>
        <w:rPr>
          <w:rFonts w:ascii="Times New Roman" w:cs="Times New Roman" w:eastAsia="Times New Roman" w:hAnsi="Times New Roman"/>
          <w:b/>
          <w:bCs/>
          <w:color w:val="D4A017"/>
          <w:sz w:val="24"/>
          <w:szCs w:val="24"/>
        </w:rPr>
        <w:t xml:space="preserve">LightGBM comme meilleur modèle : </w:t>
      </w:r>
      <w:r>
        <w:rPr>
          <w:rFonts w:ascii="Times New Roman" w:cs="Times New Roman" w:eastAsia="Times New Roman" w:hAnsi="Times New Roman"/>
          <w:color w:val="2C2C2C"/>
          <w:sz w:val="24"/>
          <w:szCs w:val="24"/>
        </w:rPr>
        <w:t xml:space="preserve">Avec un AUC-ROC de ~0.86, LightGBM confirme la supériorité des méthodes de boosting pour les problèmes de classification déséquilibrée.</w:t>
      </w:r>
    </w:p>
    <w:p>
      <w:pPr>
        <w:pStyle w:val="ListParagraph"/>
        <w:numPr>
          <w:ilvl w:val="0"/>
          <w:numId w:val="2"/>
        </w:numPr>
        <w:spacing w:line="320" w:after="80"/>
      </w:pPr>
      <w:r>
        <w:rPr>
          <w:rFonts w:ascii="Times New Roman" w:cs="Times New Roman" w:eastAsia="Times New Roman" w:hAnsi="Times New Roman"/>
          <w:b/>
          <w:bCs/>
          <w:color w:val="D4A017"/>
          <w:sz w:val="24"/>
          <w:szCs w:val="24"/>
        </w:rPr>
        <w:t xml:space="preserve">Facteurs prédictifs actionnables : </w:t>
      </w:r>
      <w:r>
        <w:rPr>
          <w:rFonts w:ascii="Times New Roman" w:cs="Times New Roman" w:eastAsia="Times New Roman" w:hAnsi="Times New Roman"/>
          <w:color w:val="2C2C2C"/>
          <w:sz w:val="24"/>
          <w:szCs w:val="24"/>
        </w:rPr>
        <w:t xml:space="preserve">Les variables les plus déterminantes — OverTime, MonthlyIncome, Age, TotalWorkingYears, YearsAtCompany — sont directement sous le contrôle des directions RH, ce qui confère au modèle une valeur opérationnelle immédiate.</w:t>
      </w:r>
    </w:p>
    <w:p>
      <w:pPr>
        <w:pStyle w:val="ListParagraph"/>
        <w:numPr>
          <w:ilvl w:val="0"/>
          <w:numId w:val="2"/>
        </w:numPr>
        <w:spacing w:line="320" w:after="80"/>
      </w:pPr>
      <w:r>
        <w:rPr>
          <w:rFonts w:ascii="Times New Roman" w:cs="Times New Roman" w:eastAsia="Times New Roman" w:hAnsi="Times New Roman"/>
          <w:b/>
          <w:bCs/>
          <w:color w:val="D4A017"/>
          <w:sz w:val="24"/>
          <w:szCs w:val="24"/>
        </w:rPr>
        <w:t xml:space="preserve">SMOTE comme étape essentielle : </w:t>
      </w:r>
      <w:r>
        <w:rPr>
          <w:rFonts w:ascii="Times New Roman" w:cs="Times New Roman" w:eastAsia="Times New Roman" w:hAnsi="Times New Roman"/>
          <w:color w:val="2C2C2C"/>
          <w:sz w:val="24"/>
          <w:szCs w:val="24"/>
        </w:rPr>
        <w:t xml:space="preserve">La correction du déséquilibre 84 % / 16 % par SMOTE s'est révélée indispensable pour permettre aux modèles d'apprendre correctement les patterns de départ.</w:t>
      </w:r>
    </w:p>
    <w:p>
      <w:pPr>
        <w:pStyle w:val="ListParagraph"/>
        <w:numPr>
          <w:ilvl w:val="0"/>
          <w:numId w:val="2"/>
        </w:numPr>
        <w:spacing w:line="320" w:after="80"/>
      </w:pPr>
      <w:r>
        <w:rPr>
          <w:rFonts w:ascii="Times New Roman" w:cs="Times New Roman" w:eastAsia="Times New Roman" w:hAnsi="Times New Roman"/>
          <w:b/>
          <w:bCs/>
          <w:color w:val="D4A017"/>
          <w:sz w:val="24"/>
          <w:szCs w:val="24"/>
        </w:rPr>
        <w:t xml:space="preserve">SHAP pour la confiance décisionnelle : </w:t>
      </w:r>
      <w:r>
        <w:rPr>
          <w:rFonts w:ascii="Times New Roman" w:cs="Times New Roman" w:eastAsia="Times New Roman" w:hAnsi="Times New Roman"/>
          <w:color w:val="2C2C2C"/>
          <w:sz w:val="24"/>
          <w:szCs w:val="24"/>
        </w:rPr>
        <w:t xml:space="preserve">L'interprétabilité via SHAP transforme un modèle opaque en un outil de décision transparent, essentiel pour obtenir l'adhésion des décideurs RH.</w:t>
      </w:r>
    </w:p>
    <w:p>
      <w:pPr>
        <w:spacing w:after="120"/>
      </w:pPr>
      <w:r>
        <w:t xml:space="preserve"/>
      </w:r>
    </w:p>
    <w:p>
      <w:pPr>
        <w:pStyle w:val="Heading2"/>
        <w:spacing w:before="220" w:after="140"/>
      </w:pPr>
      <w:r>
        <w:rPr>
          <w:rFonts w:ascii="Times New Roman" w:cs="Times New Roman" w:eastAsia="Times New Roman" w:hAnsi="Times New Roman"/>
          <w:b/>
          <w:bCs/>
          <w:color w:val="D4A017"/>
          <w:sz w:val="26"/>
          <w:szCs w:val="26"/>
        </w:rPr>
        <w:t xml:space="preserve">V.3 </w:t>
      </w:r>
      <w:r>
        <w:rPr>
          <w:rFonts w:ascii="Times New Roman" w:cs="Times New Roman" w:eastAsia="Times New Roman" w:hAnsi="Times New Roman"/>
          <w:b/>
          <w:bCs/>
          <w:color w:val="004422"/>
          <w:sz w:val="26"/>
          <w:szCs w:val="26"/>
        </w:rPr>
        <w:t xml:space="preserve">Perspectives d'amélioration</w:t>
      </w:r>
    </w:p>
    <w:p>
      <w:pPr>
        <w:spacing w:line="360" w:after="120"/>
        <w:ind w:firstLine="360"/>
        <w:jc w:val="both"/>
      </w:pPr>
      <w:r>
        <w:rPr>
          <w:rFonts w:ascii="Times New Roman" w:cs="Times New Roman" w:eastAsia="Times New Roman" w:hAnsi="Times New Roman"/>
          <w:color w:val="2C2C2C"/>
          <w:sz w:val="24"/>
          <w:szCs w:val="24"/>
        </w:rPr>
        <w:t xml:space="preserve">Ce travail ouvre plusieurs perspectives de recherche et d'application. À court terme, il serait pertinent d'optimiser les hyperparamètres par des techniques avancées (Optuna, Bayesian Optimization) et d'intégrer des données RH réelles issues de cabinets marocains. À moyen terme, le développement d'un dashboard interactif de monitoring du risque de turnover en temps réel constituerait une extension naturelle et à forte valeur ajoutée pour les décideurs RH.</w:t>
      </w:r>
    </w:p>
    <w:p>
      <w:pPr>
        <w:spacing w:line="360" w:after="120"/>
        <w:ind w:firstLine="360"/>
        <w:jc w:val="both"/>
      </w:pPr>
      <w:r>
        <w:rPr>
          <w:rFonts w:ascii="Times New Roman" w:cs="Times New Roman" w:eastAsia="Times New Roman" w:hAnsi="Times New Roman"/>
          <w:color w:val="2C2C2C"/>
          <w:sz w:val="24"/>
          <w:szCs w:val="24"/>
        </w:rPr>
        <w:t xml:space="preserve">Plus fondamentalement, ce projet illustre comment l'Intelligence Artificielle peut contribuer à transformer la gestion des ressources humaines d'une fonction réactive en une fonction anticipatoire et stratégique, en particulier dans des secteurs comme l'audit interne où le capital humain constitue l'actif le plus déterminant.</w:t>
      </w:r>
    </w:p>
    <w:p>
      <w:pPr>
        <w:spacing w:after="120"/>
      </w:pPr>
      <w:r>
        <w:t xml:space="preserve"/>
      </w:r>
    </w:p>
    <w:p>
      <w:pPr>
        <w:pBdr>
          <w:bottom w:val="single" w:color="D4A017" w:sz="6" w:space="1"/>
        </w:pBdr>
        <w:spacing w:before="180" w:after="180"/>
      </w:pPr>
    </w:p>
    <w:p>
      <w:pPr>
        <w:spacing w:after="120"/>
      </w:pPr>
      <w:r>
        <w:t xml:space="preserve"/>
      </w:r>
    </w:p>
    <w:p>
      <w:pPr>
        <w:pStyle w:val="Heading1"/>
        <w:pBdr>
          <w:bottom w:val="single" w:color="D4A017" w:sz="4" w:space="2"/>
        </w:pBdr>
        <w:spacing w:before="320" w:after="180"/>
      </w:pPr>
      <w:r>
        <w:rPr>
          <w:rFonts w:ascii="Times New Roman" w:cs="Times New Roman" w:eastAsia="Times New Roman" w:hAnsi="Times New Roman"/>
          <w:b/>
          <w:bCs/>
          <w:color w:val="006633"/>
          <w:sz w:val="30"/>
          <w:szCs w:val="30"/>
        </w:rPr>
        <w:t xml:space="preserve">BIBLIOGRAPHIE / WEBOGRAPHIE</w:t>
      </w:r>
    </w:p>
    <w:p>
      <w:pPr>
        <w:spacing w:before="160" w:after="100"/>
      </w:pPr>
      <w:r>
        <w:rPr>
          <w:rFonts w:ascii="Times New Roman" w:cs="Times New Roman" w:eastAsia="Times New Roman" w:hAnsi="Times New Roman"/>
          <w:b/>
          <w:bCs/>
          <w:color w:val="004422"/>
          <w:sz w:val="24"/>
          <w:szCs w:val="24"/>
          <w:u w:val="single" w:color="D4A017"/>
        </w:rPr>
        <w:t xml:space="preserve">Dataset</w:t>
      </w:r>
    </w:p>
    <w:p>
      <w:pPr>
        <w:pStyle w:val="ListParagraph"/>
        <w:numPr>
          <w:ilvl w:val="0"/>
          <w:numId w:val="2"/>
        </w:numPr>
        <w:spacing w:line="320" w:after="80"/>
      </w:pPr>
      <w:r>
        <w:rPr>
          <w:rFonts w:ascii="Times New Roman" w:cs="Times New Roman" w:eastAsia="Times New Roman" w:hAnsi="Times New Roman"/>
          <w:color w:val="2C2C2C"/>
          <w:sz w:val="24"/>
          <w:szCs w:val="24"/>
        </w:rPr>
        <w:t xml:space="preserve">IBM HR Analytics Employee Attrition &amp; Performance — Kaggle. Disponible sur : https://www.kaggle.com/datasets/pavansubhasht/ibm-hr-analytics-attrition-dataset</w:t>
      </w:r>
    </w:p>
    <w:p>
      <w:pPr>
        <w:spacing w:after="80"/>
      </w:pPr>
      <w:r>
        <w:t xml:space="preserve"/>
      </w:r>
    </w:p>
    <w:p>
      <w:pPr>
        <w:spacing w:before="160" w:after="100"/>
      </w:pPr>
      <w:r>
        <w:rPr>
          <w:rFonts w:ascii="Times New Roman" w:cs="Times New Roman" w:eastAsia="Times New Roman" w:hAnsi="Times New Roman"/>
          <w:b/>
          <w:bCs/>
          <w:color w:val="004422"/>
          <w:sz w:val="24"/>
          <w:szCs w:val="24"/>
          <w:u w:val="single" w:color="D4A017"/>
        </w:rPr>
        <w:t xml:space="preserve">Références académiques</w:t>
      </w:r>
    </w:p>
    <w:p>
      <w:pPr>
        <w:pStyle w:val="ListParagraph"/>
        <w:numPr>
          <w:ilvl w:val="0"/>
          <w:numId w:val="2"/>
        </w:numPr>
        <w:spacing w:line="320" w:after="80"/>
      </w:pPr>
      <w:r>
        <w:rPr>
          <w:rFonts w:ascii="Times New Roman" w:cs="Times New Roman" w:eastAsia="Times New Roman" w:hAnsi="Times New Roman"/>
          <w:color w:val="2C2C2C"/>
          <w:sz w:val="24"/>
          <w:szCs w:val="24"/>
        </w:rPr>
        <w:t xml:space="preserve">Lundberg, S. M., &amp; Lee, S. I. (2017). A unified approach to interpreting model predictions. NeurIPS 2017.</w:t>
      </w:r>
    </w:p>
    <w:p>
      <w:pPr>
        <w:pStyle w:val="ListParagraph"/>
        <w:numPr>
          <w:ilvl w:val="0"/>
          <w:numId w:val="2"/>
        </w:numPr>
        <w:spacing w:line="320" w:after="80"/>
      </w:pPr>
      <w:r>
        <w:rPr>
          <w:rFonts w:ascii="Times New Roman" w:cs="Times New Roman" w:eastAsia="Times New Roman" w:hAnsi="Times New Roman"/>
          <w:color w:val="2C2C2C"/>
          <w:sz w:val="24"/>
          <w:szCs w:val="24"/>
        </w:rPr>
        <w:t xml:space="preserve">Chawla, N. V., Bowyer, K. W., Hall, L. O., &amp; Kegelmeyer, W. P. (2002). SMOTE: Synthetic minority over-sampling technique. JAIR, 16, 321–357.</w:t>
      </w:r>
    </w:p>
    <w:p>
      <w:pPr>
        <w:pStyle w:val="ListParagraph"/>
        <w:numPr>
          <w:ilvl w:val="0"/>
          <w:numId w:val="2"/>
        </w:numPr>
        <w:spacing w:line="320" w:after="80"/>
      </w:pPr>
      <w:r>
        <w:rPr>
          <w:rFonts w:ascii="Times New Roman" w:cs="Times New Roman" w:eastAsia="Times New Roman" w:hAnsi="Times New Roman"/>
          <w:color w:val="2C2C2C"/>
          <w:sz w:val="24"/>
          <w:szCs w:val="24"/>
        </w:rPr>
        <w:t xml:space="preserve">Chen, T., &amp; Guestrin, C. (2016). XGBoost: A scalable tree boosting system. KDD 2016.</w:t>
      </w:r>
    </w:p>
    <w:p>
      <w:pPr>
        <w:pStyle w:val="ListParagraph"/>
        <w:numPr>
          <w:ilvl w:val="0"/>
          <w:numId w:val="2"/>
        </w:numPr>
        <w:spacing w:line="320" w:after="80"/>
      </w:pPr>
      <w:r>
        <w:rPr>
          <w:rFonts w:ascii="Times New Roman" w:cs="Times New Roman" w:eastAsia="Times New Roman" w:hAnsi="Times New Roman"/>
          <w:color w:val="2C2C2C"/>
          <w:sz w:val="24"/>
          <w:szCs w:val="24"/>
        </w:rPr>
        <w:t xml:space="preserve">Ke, G., et al. (2017). LightGBM: A highly efficient gradient boosting decision tree. NeurIPS 2017.</w:t>
      </w:r>
    </w:p>
    <w:p>
      <w:pPr>
        <w:spacing w:after="80"/>
      </w:pPr>
      <w:r>
        <w:t xml:space="preserve"/>
      </w:r>
    </w:p>
    <w:p>
      <w:pPr>
        <w:spacing w:before="160" w:after="100"/>
      </w:pPr>
      <w:r>
        <w:rPr>
          <w:rFonts w:ascii="Times New Roman" w:cs="Times New Roman" w:eastAsia="Times New Roman" w:hAnsi="Times New Roman"/>
          <w:b/>
          <w:bCs/>
          <w:color w:val="004422"/>
          <w:sz w:val="24"/>
          <w:szCs w:val="24"/>
          <w:u w:val="single" w:color="D4A017"/>
        </w:rPr>
        <w:t xml:space="preserve">Bibliothèques Python utilisées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rPr>
          <w:tblHeader/>
        </w:trPr>
        <w:tc>
          <w:tcPr>
            <w:tcW w:type="dxa" w:w="2500"/>
            <w:tcBorders>
              <w:top w:val="single" w:color="AACFAA" w:sz="1"/>
              <w:left w:val="single" w:color="AACFAA" w:sz="1"/>
              <w:bottom w:val="single" w:color="AACFAA" w:sz="1"/>
              <w:right w:val="single" w:color="AACFAA" w:sz="1"/>
            </w:tcBorders>
            <w:shd w:fill="00663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Bibliothèque</w:t>
            </w:r>
          </w:p>
        </w:tc>
        <w:tc>
          <w:tcPr>
            <w:tcW w:type="dxa" w:w="1500"/>
            <w:tcBorders>
              <w:top w:val="single" w:color="AACFAA" w:sz="1"/>
              <w:left w:val="single" w:color="AACFAA" w:sz="1"/>
              <w:bottom w:val="single" w:color="AACFAA" w:sz="1"/>
              <w:right w:val="single" w:color="AACFAA" w:sz="1"/>
            </w:tcBorders>
            <w:shd w:fill="00663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Version</w:t>
            </w:r>
          </w:p>
        </w:tc>
        <w:tc>
          <w:tcPr>
            <w:tcW w:type="dxa" w:w="5026"/>
            <w:tcBorders>
              <w:top w:val="single" w:color="AACFAA" w:sz="1"/>
              <w:left w:val="single" w:color="AACFAA" w:sz="1"/>
              <w:bottom w:val="single" w:color="AACFAA" w:sz="1"/>
              <w:right w:val="single" w:color="AACFAA" w:sz="1"/>
            </w:tcBorders>
            <w:shd w:fill="00663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Usage</w:t>
            </w:r>
          </w:p>
        </w:tc>
      </w:tr>
      <w:tr>
        <w:tc>
          <w:tcPr>
            <w:tcW w:type="dxa" w:w="25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pandas</w:t>
            </w:r>
          </w:p>
        </w:tc>
        <w:tc>
          <w:tcPr>
            <w:tcW w:type="dxa" w:w="15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 1.5</w:t>
            </w:r>
          </w:p>
        </w:tc>
        <w:tc>
          <w:tcPr>
            <w:tcW w:type="dxa" w:w="5026"/>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Manipulation et exploration des données</w:t>
            </w:r>
          </w:p>
        </w:tc>
      </w:tr>
      <w:tr>
        <w:tc>
          <w:tcPr>
            <w:tcW w:type="dxa" w:w="25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numpy</w:t>
            </w:r>
          </w:p>
        </w:tc>
        <w:tc>
          <w:tcPr>
            <w:tcW w:type="dxa" w:w="15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 1.23</w:t>
            </w:r>
          </w:p>
        </w:tc>
        <w:tc>
          <w:tcPr>
            <w:tcW w:type="dxa" w:w="5026"/>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Calcul numérique</w:t>
            </w:r>
          </w:p>
        </w:tc>
      </w:tr>
      <w:tr>
        <w:tc>
          <w:tcPr>
            <w:tcW w:type="dxa" w:w="25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scikit-learn</w:t>
            </w:r>
          </w:p>
        </w:tc>
        <w:tc>
          <w:tcPr>
            <w:tcW w:type="dxa" w:w="15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 1.1</w:t>
            </w:r>
          </w:p>
        </w:tc>
        <w:tc>
          <w:tcPr>
            <w:tcW w:type="dxa" w:w="5026"/>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Prétraitement, modèles, évaluation</w:t>
            </w:r>
          </w:p>
        </w:tc>
      </w:tr>
      <w:tr>
        <w:tc>
          <w:tcPr>
            <w:tcW w:type="dxa" w:w="25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xgboost</w:t>
            </w:r>
          </w:p>
        </w:tc>
        <w:tc>
          <w:tcPr>
            <w:tcW w:type="dxa" w:w="15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 1.7</w:t>
            </w:r>
          </w:p>
        </w:tc>
        <w:tc>
          <w:tcPr>
            <w:tcW w:type="dxa" w:w="5026"/>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Algorithme XGBoost</w:t>
            </w:r>
          </w:p>
        </w:tc>
      </w:tr>
      <w:tr>
        <w:tc>
          <w:tcPr>
            <w:tcW w:type="dxa" w:w="25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lightgbm</w:t>
            </w:r>
          </w:p>
        </w:tc>
        <w:tc>
          <w:tcPr>
            <w:tcW w:type="dxa" w:w="15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 3.3</w:t>
            </w:r>
          </w:p>
        </w:tc>
        <w:tc>
          <w:tcPr>
            <w:tcW w:type="dxa" w:w="5026"/>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Algorithme LightGBM</w:t>
            </w:r>
          </w:p>
        </w:tc>
      </w:tr>
      <w:tr>
        <w:tc>
          <w:tcPr>
            <w:tcW w:type="dxa" w:w="25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2C2C2C"/>
                <w:sz w:val="20"/>
                <w:szCs w:val="20"/>
              </w:rPr>
              <w:t xml:space="preserve">imbalanced-learn</w:t>
            </w:r>
          </w:p>
        </w:tc>
        <w:tc>
          <w:tcPr>
            <w:tcW w:type="dxa" w:w="15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 0.10</w:t>
            </w:r>
          </w:p>
        </w:tc>
        <w:tc>
          <w:tcPr>
            <w:tcW w:type="dxa" w:w="5026"/>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SMOTE — rééquilibrage des classes</w:t>
            </w:r>
          </w:p>
        </w:tc>
      </w:tr>
      <w:tr>
        <w:tc>
          <w:tcPr>
            <w:tcW w:type="dxa" w:w="25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2C2C2C"/>
                <w:sz w:val="20"/>
                <w:szCs w:val="20"/>
              </w:rPr>
              <w:t xml:space="preserve">shap</w:t>
            </w:r>
          </w:p>
        </w:tc>
        <w:tc>
          <w:tcPr>
            <w:tcW w:type="dxa" w:w="15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 0.41</w:t>
            </w:r>
          </w:p>
        </w:tc>
        <w:tc>
          <w:tcPr>
            <w:tcW w:type="dxa" w:w="5026"/>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Interprétabilité des modèles</w:t>
            </w:r>
          </w:p>
        </w:tc>
      </w:tr>
      <w:tr>
        <w:tc>
          <w:tcPr>
            <w:tcW w:type="dxa" w:w="25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2C2C2C"/>
                <w:sz w:val="20"/>
                <w:szCs w:val="20"/>
              </w:rPr>
              <w:t xml:space="preserve">matplotlib</w:t>
            </w:r>
          </w:p>
        </w:tc>
        <w:tc>
          <w:tcPr>
            <w:tcW w:type="dxa" w:w="15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 3.6</w:t>
            </w:r>
          </w:p>
        </w:tc>
        <w:tc>
          <w:tcPr>
            <w:tcW w:type="dxa" w:w="5026"/>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Visualisation graphique</w:t>
            </w:r>
          </w:p>
        </w:tc>
      </w:tr>
      <w:tr>
        <w:tc>
          <w:tcPr>
            <w:tcW w:type="dxa" w:w="25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2C2C2C"/>
                <w:sz w:val="20"/>
                <w:szCs w:val="20"/>
              </w:rPr>
              <w:t xml:space="preserve">seaborn</w:t>
            </w:r>
          </w:p>
        </w:tc>
        <w:tc>
          <w:tcPr>
            <w:tcW w:type="dxa" w:w="15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 0.12</w:t>
            </w:r>
          </w:p>
        </w:tc>
        <w:tc>
          <w:tcPr>
            <w:tcW w:type="dxa" w:w="5026"/>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Visualisation statistique avancée</w:t>
            </w:r>
          </w:p>
        </w:tc>
      </w:tr>
    </w:tbl>
    <w:p>
      <w:pPr>
        <w:spacing w:before="60" w:after="180"/>
        <w:jc w:val="center"/>
      </w:pPr>
      <w:r>
        <w:rPr>
          <w:rFonts w:ascii="Times New Roman" w:cs="Times New Roman" w:eastAsia="Times New Roman" w:hAnsi="Times New Roman"/>
          <w:i/>
          <w:iCs/>
          <w:color w:val="666666"/>
          <w:sz w:val="20"/>
          <w:szCs w:val="20"/>
        </w:rPr>
        <w:t xml:space="preserve">Tableau 13 : Environnement technique et bibliothèques utilisées</w:t>
      </w:r>
    </w:p>
    <w:p>
      <w:pPr>
        <w:spacing w:after="120"/>
      </w:pPr>
      <w:r>
        <w:t xml:space="preserve"/>
      </w:r>
    </w:p>
    <w:p>
      <w:pPr>
        <w:spacing w:line="360" w:after="120"/>
        <w:ind w:firstLine="360"/>
        <w:jc w:val="both"/>
      </w:pPr>
      <w:r>
        <w:rPr>
          <w:rFonts w:ascii="Times New Roman" w:cs="Times New Roman" w:eastAsia="Times New Roman" w:hAnsi="Times New Roman"/>
          <w:color w:val="2C2C2C"/>
          <w:sz w:val="24"/>
          <w:szCs w:val="24"/>
        </w:rPr>
        <w:t xml:space="preserve">Environnement d'exécution : Google Colaboratory (Colab) — Python 3.10+ — Jupyter Notebook (.ipynb)</w:t>
      </w:r>
    </w:p>
    <w:p>
      <w:pPr>
        <w:spacing w:after="120"/>
      </w:pPr>
      <w:r>
        <w:t xml:space="preserve"/>
      </w:r>
    </w:p>
    <w:p>
      <w:pPr>
        <w:pBdr>
          <w:bottom w:val="single" w:color="D4A017" w:sz="6" w:space="1"/>
        </w:pBdr>
        <w:spacing w:before="180" w:after="180"/>
      </w:pPr>
    </w:p>
    <w:p>
      <w:pPr>
        <w:spacing w:after="120"/>
      </w:pPr>
      <w:r>
        <w:t xml:space="preserve"/>
      </w:r>
    </w:p>
    <w:p>
      <w:pPr>
        <w:pStyle w:val="Heading1"/>
        <w:pBdr>
          <w:bottom w:val="single" w:color="D4A017" w:sz="4" w:space="2"/>
        </w:pBdr>
        <w:spacing w:before="320" w:after="180"/>
      </w:pPr>
      <w:r>
        <w:rPr>
          <w:rFonts w:ascii="Times New Roman" w:cs="Times New Roman" w:eastAsia="Times New Roman" w:hAnsi="Times New Roman"/>
          <w:b/>
          <w:bCs/>
          <w:color w:val="006633"/>
          <w:sz w:val="30"/>
          <w:szCs w:val="30"/>
        </w:rPr>
        <w:t xml:space="preserve">ANNEXES</w:t>
      </w:r>
    </w:p>
    <w:p>
      <w:pPr>
        <w:spacing w:before="160" w:after="100"/>
      </w:pPr>
      <w:r>
        <w:rPr>
          <w:rFonts w:ascii="Times New Roman" w:cs="Times New Roman" w:eastAsia="Times New Roman" w:hAnsi="Times New Roman"/>
          <w:b/>
          <w:bCs/>
          <w:color w:val="004422"/>
          <w:sz w:val="24"/>
          <w:szCs w:val="24"/>
          <w:u w:val="single" w:color="D4A017"/>
        </w:rPr>
        <w:t xml:space="preserve">Annexe A — Paramètres SMOTE et découpage Train/Test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AACFAA" w:sz="1"/>
              <w:left w:val="single" w:color="AACFAA" w:sz="1"/>
              <w:bottom w:val="single" w:color="AACFAA" w:sz="1"/>
              <w:right w:val="single" w:color="AACFAA" w:sz="1"/>
            </w:tcBorders>
            <w:shd w:fill="00663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Paramètre</w:t>
            </w:r>
          </w:p>
        </w:tc>
        <w:tc>
          <w:tcPr>
            <w:tcW w:type="dxa" w:w="5526"/>
            <w:tcBorders>
              <w:top w:val="single" w:color="AACFAA" w:sz="1"/>
              <w:left w:val="single" w:color="AACFAA" w:sz="1"/>
              <w:bottom w:val="single" w:color="AACFAA" w:sz="1"/>
              <w:right w:val="single" w:color="AACFAA" w:sz="1"/>
            </w:tcBorders>
            <w:shd w:fill="00663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Valeur</w:t>
            </w:r>
          </w:p>
        </w:tc>
      </w:tr>
      <w:tr>
        <w:tc>
          <w:tcPr>
            <w:tcW w:type="dxa" w:w="35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Ratio Train / Test</w:t>
            </w:r>
          </w:p>
        </w:tc>
        <w:tc>
          <w:tcPr>
            <w:tcW w:type="dxa" w:w="5526"/>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80 % / 20 % avec stratification</w:t>
            </w:r>
          </w:p>
        </w:tc>
      </w:tr>
      <w:tr>
        <w:tc>
          <w:tcPr>
            <w:tcW w:type="dxa" w:w="35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Méthode de rééquilibrage</w:t>
            </w:r>
          </w:p>
        </w:tc>
        <w:tc>
          <w:tcPr>
            <w:tcW w:type="dxa" w:w="5526"/>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SMOTE (imbalanced-learn)</w:t>
            </w:r>
          </w:p>
        </w:tc>
      </w:tr>
      <w:tr>
        <w:tc>
          <w:tcPr>
            <w:tcW w:type="dxa" w:w="35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Classe 0 après SMOTE (entraînement)</w:t>
            </w:r>
          </w:p>
        </w:tc>
        <w:tc>
          <w:tcPr>
            <w:tcW w:type="dxa" w:w="5526"/>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~984 observations</w:t>
            </w:r>
          </w:p>
        </w:tc>
      </w:tr>
      <w:tr>
        <w:tc>
          <w:tcPr>
            <w:tcW w:type="dxa" w:w="35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Classe 1 après SMOTE (entraînement)</w:t>
            </w:r>
          </w:p>
        </w:tc>
        <w:tc>
          <w:tcPr>
            <w:tcW w:type="dxa" w:w="5526"/>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~984 observations</w:t>
            </w:r>
          </w:p>
        </w:tc>
      </w:tr>
      <w:tr>
        <w:tc>
          <w:tcPr>
            <w:tcW w:type="dxa" w:w="35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Classe 0 sur test (réelle)</w:t>
            </w:r>
          </w:p>
        </w:tc>
        <w:tc>
          <w:tcPr>
            <w:tcW w:type="dxa" w:w="5526"/>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~249 observations</w:t>
            </w:r>
          </w:p>
        </w:tc>
      </w:tr>
      <w:tr>
        <w:tc>
          <w:tcPr>
            <w:tcW w:type="dxa" w:w="35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2C2C2C"/>
                <w:sz w:val="20"/>
                <w:szCs w:val="20"/>
              </w:rPr>
              <w:t xml:space="preserve">Classe 1 sur test (réelle)</w:t>
            </w:r>
          </w:p>
        </w:tc>
        <w:tc>
          <w:tcPr>
            <w:tcW w:type="dxa" w:w="5526"/>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~45 observations</w:t>
            </w:r>
          </w:p>
        </w:tc>
      </w:tr>
    </w:tbl>
    <w:p>
      <w:pPr>
        <w:spacing w:before="60" w:after="180"/>
        <w:jc w:val="center"/>
      </w:pPr>
      <w:r>
        <w:rPr>
          <w:rFonts w:ascii="Times New Roman" w:cs="Times New Roman" w:eastAsia="Times New Roman" w:hAnsi="Times New Roman"/>
          <w:i/>
          <w:iCs/>
          <w:color w:val="666666"/>
          <w:sz w:val="20"/>
          <w:szCs w:val="20"/>
        </w:rPr>
        <w:t xml:space="preserve">Tableau 14 : Paramètres du découpage et du rééquilibrage SMOTE</w:t>
      </w:r>
    </w:p>
    <w:p>
      <w:pPr>
        <w:spacing w:after="120"/>
      </w:pPr>
      <w:r>
        <w:t xml:space="preserve"/>
      </w:r>
    </w:p>
    <w:p>
      <w:pPr>
        <w:spacing w:before="160" w:after="100"/>
      </w:pPr>
      <w:r>
        <w:rPr>
          <w:rFonts w:ascii="Times New Roman" w:cs="Times New Roman" w:eastAsia="Times New Roman" w:hAnsi="Times New Roman"/>
          <w:b/>
          <w:bCs/>
          <w:color w:val="004422"/>
          <w:sz w:val="24"/>
          <w:szCs w:val="24"/>
          <w:u w:val="single" w:color="D4A017"/>
        </w:rPr>
        <w:t xml:space="preserve">Annexe B — Matrice de confusion type (LightGBM)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rPr>
          <w:tblHeader/>
        </w:trPr>
        <w:tc>
          <w:tcPr>
            <w:tcW w:type="dxa" w:w="2500"/>
            <w:tcBorders>
              <w:top w:val="single" w:color="AACFAA" w:sz="1"/>
              <w:left w:val="single" w:color="AACFAA" w:sz="1"/>
              <w:bottom w:val="single" w:color="AACFAA" w:sz="1"/>
              <w:right w:val="single" w:color="AACFAA" w:sz="1"/>
            </w:tcBorders>
            <w:shd w:fill="D4A01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 </w:t>
            </w:r>
          </w:p>
        </w:tc>
        <w:tc>
          <w:tcPr>
            <w:tcW w:type="dxa" w:w="3263"/>
            <w:tcBorders>
              <w:top w:val="single" w:color="AACFAA" w:sz="1"/>
              <w:left w:val="single" w:color="AACFAA" w:sz="1"/>
              <w:bottom w:val="single" w:color="AACFAA" w:sz="1"/>
              <w:right w:val="single" w:color="AACFAA" w:sz="1"/>
            </w:tcBorders>
            <w:shd w:fill="D4A01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Prédit Reste (0)</w:t>
            </w:r>
          </w:p>
        </w:tc>
        <w:tc>
          <w:tcPr>
            <w:tcW w:type="dxa" w:w="3263"/>
            <w:tcBorders>
              <w:top w:val="single" w:color="AACFAA" w:sz="1"/>
              <w:left w:val="single" w:color="AACFAA" w:sz="1"/>
              <w:bottom w:val="single" w:color="AACFAA" w:sz="1"/>
              <w:right w:val="single" w:color="AACFAA" w:sz="1"/>
            </w:tcBorders>
            <w:shd w:fill="D4A01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Prédit Départ (1)</w:t>
            </w:r>
          </w:p>
        </w:tc>
      </w:tr>
      <w:tr>
        <w:tc>
          <w:tcPr>
            <w:tcW w:type="dxa" w:w="2500"/>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Réel Reste (0)</w:t>
            </w:r>
          </w:p>
        </w:tc>
        <w:tc>
          <w:tcPr>
            <w:tcW w:type="dxa" w:w="3263"/>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Vrais Négatifs (VN)</w:t>
            </w:r>
          </w:p>
        </w:tc>
        <w:tc>
          <w:tcPr>
            <w:tcW w:type="dxa" w:w="3263"/>
            <w:tcBorders>
              <w:top w:val="single" w:color="AACFAA" w:sz="1"/>
              <w:left w:val="single" w:color="AACFAA" w:sz="1"/>
              <w:bottom w:val="single" w:color="AACFAA" w:sz="1"/>
              <w:right w:val="single" w:color="AACF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Faux Positifs (FP)</w:t>
            </w:r>
          </w:p>
        </w:tc>
      </w:tr>
      <w:tr>
        <w:tc>
          <w:tcPr>
            <w:tcW w:type="dxa" w:w="2500"/>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left"/>
            </w:pPr>
            <w:r>
              <w:rPr>
                <w:rFonts w:ascii="Times New Roman" w:cs="Times New Roman" w:eastAsia="Times New Roman" w:hAnsi="Times New Roman"/>
                <w:b/>
                <w:bCs/>
                <w:color w:val="2C2C2C"/>
                <w:sz w:val="20"/>
                <w:szCs w:val="20"/>
              </w:rPr>
              <w:t xml:space="preserve">Réel Départ (1)</w:t>
            </w:r>
          </w:p>
        </w:tc>
        <w:tc>
          <w:tcPr>
            <w:tcW w:type="dxa" w:w="3263"/>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Faux Négatifs (FN)</w:t>
            </w:r>
          </w:p>
        </w:tc>
        <w:tc>
          <w:tcPr>
            <w:tcW w:type="dxa" w:w="3263"/>
            <w:tcBorders>
              <w:top w:val="single" w:color="AACFAA" w:sz="1"/>
              <w:left w:val="single" w:color="AACFAA" w:sz="1"/>
              <w:bottom w:val="single" w:color="AACFAA" w:sz="1"/>
              <w:right w:val="single" w:color="AACFAA" w:sz="1"/>
            </w:tcBorders>
            <w:shd w:fill="E8F5E9"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C2C2C"/>
                <w:sz w:val="20"/>
                <w:szCs w:val="20"/>
              </w:rPr>
              <w:t xml:space="preserve">Vrais Positifs (VP)</w:t>
            </w:r>
          </w:p>
        </w:tc>
      </w:tr>
    </w:tbl>
    <w:p>
      <w:pPr>
        <w:spacing w:before="60" w:after="180"/>
        <w:jc w:val="center"/>
      </w:pPr>
      <w:r>
        <w:rPr>
          <w:rFonts w:ascii="Times New Roman" w:cs="Times New Roman" w:eastAsia="Times New Roman" w:hAnsi="Times New Roman"/>
          <w:i/>
          <w:iCs/>
          <w:color w:val="666666"/>
          <w:sz w:val="20"/>
          <w:szCs w:val="20"/>
        </w:rPr>
        <w:t xml:space="preserve">Tableau 15 : Structure de la matrice de confusion — LightGBM</w:t>
      </w:r>
    </w:p>
    <w:p>
      <w:pPr>
        <w:spacing w:after="120"/>
      </w:pPr>
      <w:r>
        <w:t xml:space="preserve"/>
      </w:r>
    </w:p>
    <w:p>
      <w:pPr>
        <w:spacing w:line="360" w:after="120"/>
        <w:ind w:firstLine="360"/>
        <w:jc w:val="both"/>
      </w:pPr>
      <w:r>
        <w:rPr>
          <w:rFonts w:ascii="Times New Roman" w:cs="Times New Roman" w:eastAsia="Times New Roman" w:hAnsi="Times New Roman"/>
          <w:i/>
          <w:iCs/>
          <w:color w:val="666666"/>
          <w:sz w:val="24"/>
          <w:szCs w:val="24"/>
        </w:rPr>
        <w:t xml:space="preserve">Note : Les Faux Négatifs (départs non détectés) constituent le risque principal à minimiser dans ce contexte. Le modèle maintient un bon équilibre grâce à l'application du rééquilibrage SMOTE.</w:t>
      </w:r>
    </w:p>
    <w:sectPr>
      <w:footerReference w:type="default" r:id="rId6"/>
      <w:pgSz w:w="11906" w:h="16838" w:orient="portrait"/>
      <w:pgMar w:top="1440" w:right="1440" w:bottom="1440" w:left="18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017" w:sz="4" w:space="1"/>
      </w:pBdr>
      <w:spacing w:before="80"/>
      <w:jc w:val="center"/>
    </w:pPr>
    <w:r>
      <w:rPr>
        <w:rFonts w:ascii="Times New Roman" w:cs="Times New Roman" w:eastAsia="Times New Roman" w:hAnsi="Times New Roman"/>
        <w:color w:val="888888"/>
        <w:sz w:val="18"/>
        <w:szCs w:val="18"/>
      </w:rPr>
      <w:t xml:space="preserve">ENCG Settat — CAC S8 — Prédiction Turnover Auditeurs par ML   |   </w:t>
    </w:r>
    <w:r>
      <w:rPr>
        <w:rFonts w:ascii="Times New Roman" w:cs="Times New Roman" w:eastAsia="Times New Roman" w:hAnsi="Times New Roman"/>
        <w:color w:val="D4A017"/>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  </w:t>
    </w:r>
    <w:r>
      <w:rPr>
        <w:rFonts w:ascii="Times New Roman" w:cs="Times New Roman" w:eastAsia="Times New Roman" w:hAnsi="Times New Roman"/>
        <w:color w:val="00663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2C2C2C"/>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80"/>
      <w:outlineLvl w:val="0"/>
    </w:pPr>
    <w:rPr>
      <w:rFonts w:ascii="Times New Roman" w:cs="Times New Roman" w:eastAsia="Times New Roman" w:hAnsi="Times New Roman"/>
      <w:b/>
      <w:bCs/>
      <w:color w:val="006633"/>
      <w:sz w:val="30"/>
      <w:szCs w:val="30"/>
    </w:rPr>
  </w:style>
  <w:style w:type="paragraph" w:styleId="Heading2">
    <w:name w:val="Heading 2"/>
    <w:basedOn w:val="Normal"/>
    <w:next w:val="Normal"/>
    <w:qFormat/>
    <w:pPr>
      <w:spacing w:before="220" w:after="140"/>
      <w:outlineLvl w:val="1"/>
    </w:pPr>
    <w:rPr>
      <w:rFonts w:ascii="Times New Roman" w:cs="Times New Roman" w:eastAsia="Times New Roman" w:hAnsi="Times New Roman"/>
      <w:b/>
      <w:bCs/>
      <w:color w:val="0044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2026-03-17T13:59:56.241Z</dcterms:created>
  <dcterms:modified xsi:type="dcterms:W3CDTF">2026-03-17T13:59:56.266Z</dcterms:modified>
</cp:coreProperties>
</file>

<file path=docProps/custom.xml><?xml version="1.0" encoding="utf-8"?>
<Properties xmlns="http://schemas.openxmlformats.org/officeDocument/2006/custom-properties" xmlns:vt="http://schemas.openxmlformats.org/officeDocument/2006/docPropsVTypes"/>
</file>