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6BB6"/>
          <w:sz w:val="22"/>
          <w:rFonts w:eastAsia="Malgun Gothic" w:ascii="Calibri" w:hAnsi="Calibri"/>
        </w:rPr>
        <w:t>STRATEGIC TRANSFORMATION REPORT</w:t>
      </w:r>
    </w:p>
    <w:p>
      <w:pPr>
        <w:spacing w:after="120"/>
        <w:jc w:val="center"/>
      </w:pPr>
      <w:r>
        <w:rPr>
          <w:rFonts w:ascii="Calibri" w:hAnsi="Calibri"/>
          <w:b/>
          <w:color w:val="001E62"/>
          <w:sz w:val="72"/>
          <w:rFonts w:eastAsia="Malgun Gothic" w:ascii="Calibri" w:hAnsi="Calibri"/>
        </w:rPr>
        <w:t>NPLatform</w:t>
      </w:r>
    </w:p>
    <w:p>
      <w:pPr>
        <w:jc w:val="center"/>
      </w:pP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규제 준수형 NPL 거래 인프라로의 전면 전환</w:t>
      </w:r>
    </w:p>
    <w:p>
      <w:pPr>
        <w:jc w:val="center"/>
      </w:pPr>
      <w:r>
        <w:rPr>
          <w:rFonts w:ascii="Calibri" w:hAnsi="Calibri"/>
          <w:b w:val="0"/>
          <w:color w:val="808080"/>
          <w:sz w:val="22"/>
          <w:rFonts w:eastAsia="Malgun Gothic" w:ascii="Calibri" w:hAnsi="Calibri"/>
        </w:rPr>
        <w:t>From Information Portal to Transaction Infrastructure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7937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/>
                <w:color w:val="001E62"/>
                <w:sz w:val="18"/>
                <w:rFonts w:eastAsia="Malgun Gothic" w:ascii="Malgun Gothic" w:hAnsi="Malgun Gothic"/>
              </w:rPr>
              <w:t xml:space="preserve">Engagement Period   </w:t>
            </w: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 Business Days (6 Phases)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1E62"/>
                <w:sz w:val="18"/>
                <w:rFonts w:eastAsia="Malgun Gothic" w:ascii="Malgun Gothic" w:hAnsi="Malgun Gothic"/>
              </w:rPr>
              <w:t xml:space="preserve">Target Outcome   </w:t>
            </w: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연 매출 920억 · 매각자 락인율 85%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1E62"/>
                <w:sz w:val="18"/>
                <w:rFonts w:eastAsia="Malgun Gothic" w:ascii="Malgun Gothic" w:hAnsi="Malgun Gothic"/>
              </w:rPr>
              <w:t xml:space="preserve">Regulatory Scope   </w:t>
            </w: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개인정보보호법 · 신용정보법 · 전자금융거래법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001E62"/>
                <w:sz w:val="18"/>
                <w:rFonts w:eastAsia="Malgun Gothic" w:ascii="Malgun Gothic" w:hAnsi="Malgun Gothic"/>
              </w:rPr>
              <w:t xml:space="preserve">Version   </w:t>
            </w: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v4.0 (2026-04-07)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01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fill="001E62"/>
          </w:tcPr>
          <w:p>
            <w:pPr>
              <w:spacing w:before="120" w:after="120"/>
            </w:pPr>
            <w:r>
              <w:rPr>
                <w:rFonts w:ascii="Malgun Gothic" w:hAnsi="Malgun Gothic"/>
                <w:b/>
                <w:color w:val="60A5FA"/>
                <w:sz w:val="18"/>
                <w:rFonts w:eastAsia="Malgun Gothic" w:ascii="Malgun Gothic" w:hAnsi="Malgun Gothic"/>
              </w:rPr>
              <w:t xml:space="preserve">KEY TAKEAWAY   </w:t>
            </w:r>
            <w:r>
              <w:rPr>
                <w:rFonts w:ascii="Malgun Gothic" w:hAnsi="Malgun Gothic"/>
                <w:b/>
                <w:color w:val="FFFFFF"/>
                <w:sz w:val="22"/>
                <w:rFonts w:eastAsia="Malgun Gothic" w:ascii="Malgun Gothic" w:hAnsi="Malgun Gothic"/>
              </w:rPr>
              <w:t>NPLatform은 '정보 포털'에서 '거래 인프라'로 전환하여, 규제 준수 기반 4단계 정보 공개 모델과 자동 마스킹 파이프라인을 통해 연 920억 매출과 85% 매각자 락인율을 달성한다.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Situation — 현재 상황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국내 NPL 시장은 약 30조원 규모이나 거래가 금융기관 간 폐쇄 네트워크에 집중되어 있음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기존 플랫폼들은 '정보 제공'에 머물러 매각자·매수자가 연결된 뒤 플랫폼을 이탈(disintermediation)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채무자 개인정보·신용정보 노출 이슈로 금감원·금융위 규제 대응이 플랫폼화의 핵심 장벽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Complication — 전환이 시급한 이유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정보 비대칭을 무기로 한 기존 모델은 공급자(AMC·금융기관)의 정보 우위 앞에서 가치 창출 실패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개인정보 보호 리스크가 미해결 상태에서는 기관 고객 확보 및 투자 유치가 구조적으로 불가능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수수료 상한 규제 환경(양측 각 0.9% 이내)에서 단순 중개 모델로는 수익성 확보 어려움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Resolution — 핵심 권고 (Governing Thought)</w:t>
      </w:r>
    </w:p>
    <w:p>
      <w:pPr>
        <w:spacing w:after="200" w:line="312" w:lineRule="auto"/>
        <w:jc w:val="center"/>
      </w:pP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"담보는 열고, 사람은 가린다. 거래는 묶고, 정보는 지킨다."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핵심 투자판단 정보(채권잔액·매각희망가·감정평가서)를 L0 공개로 전환 → 트래픽·SEO 유입 극대화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채무자 개인정보는 자동 마스킹 + 계약 체결 후 법적 절차로만 이전 → 규제 리스크 제로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NDA·LOI·에스크로·계약서 전자화로 거래 실행 인프라 독점 → 매각자·매수자 양방향 락인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자료 완성도 점수(0~10)로 금융기관 간 자료 품질 경쟁 유도 → 플랫폼 자산 자체가 경쟁력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Expected Impact — 12개월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KPI</w:t>
            </w:r>
          </w:p>
        </w:tc>
        <w:tc>
          <w:tcPr>
            <w:tcW w:type="dxa" w:w="1701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목표</w:t>
            </w:r>
          </w:p>
        </w:tc>
        <w:tc>
          <w:tcPr>
            <w:tcW w:type="dxa" w:w="5102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근거</w:t>
            </w:r>
          </w:p>
        </w:tc>
      </w:tr>
      <w:tr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월간 상장 건수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100건+</w:t>
            </w:r>
          </w:p>
        </w:tc>
        <w:tc>
          <w:tcPr>
            <w:tcW w:type="dxa" w:w="51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저축은행·AMC 전속계약 30곳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거래 완결률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35%+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에스크로 의무화 + NDA 락인</w:t>
            </w:r>
          </w:p>
        </w:tc>
      </w:tr>
      <w:tr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매각자 락인율 (재상장)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85%+</w:t>
            </w:r>
          </w:p>
        </w:tc>
        <w:tc>
          <w:tcPr>
            <w:tcW w:type="dxa" w:w="51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업계 최저 0.5% + AI 평가툴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연 거래 총액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6,000억+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평균 딜 50억 × 월 100건</w:t>
            </w:r>
          </w:p>
        </w:tc>
      </w:tr>
      <w:tr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연 매출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920억+</w:t>
            </w:r>
          </w:p>
        </w:tc>
        <w:tc>
          <w:tcPr>
            <w:tcW w:type="dxa" w:w="51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수수료·구독·에스크로·SaaS 합산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 침해 사고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0건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자동 마스킹 + PII 분리 저장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02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Current State Diagnostic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2.1  개발 현황 (As-Is)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영역</w:t>
            </w:r>
          </w:p>
        </w:tc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현재 상태</w:t>
            </w:r>
          </w:p>
        </w:tc>
        <w:tc>
          <w:tcPr>
            <w:tcW w:type="dxa" w:w="3969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전략 v4 적합성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/exchange 목록·상세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구현 완료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 — 필드 확장 및 티어 게이팅 필요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/exchange/demands (매수 수요)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구현 완료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상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/exchange/institutions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구현 완료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티어 시스템 (L0~L3)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최우선 과제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자동 마스킹 파이프라인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최우선 과제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NDA·LOI 전자서명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최우선 과제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전문투자자 인증(KYC)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우선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PII 분리 저장 DB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우선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자료 완성도 점수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우선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관리자 마스킹 검수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미구현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우선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2.2  4대 구조적 갭 (MECE)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Gap 1.  규제 준수 기반 부재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개인정보·신용정보 관련 자동 처리 체계가 없어 금융기관 고객 확보 불가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DPO 조직·ISMS-P 인증·개인정보 영향평가 등 필수 요건 미충족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Gap 2.  티어 기반 정보 공개 모델 부재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현재는 모든 사용자가 동일 정보에 접근 → 트래픽 유입·락인 기제 없음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게이팅(NDA/LOI)을 통한 거래 의사 스크리닝 불가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Gap 3.  거래 실행 인프라 부재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NDA·LOI·에스크로·계약서 전자화 기능 없음 → 거래가 플랫폼 외부에서 완결됨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감사 로그·비우회 조항 등 법적 보호 장치 부재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Gap 4.  정보 품질 차별화 장치 부재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금융기관별 자료 수준 격차가 그대로 노출되어 매수자 신뢰 저하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매각자에게 자료 보충 인센티브가 없어 품질 개선 동기 부재</w:t>
      </w:r>
    </w:p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03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Strategic Framework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3.1  5대 전략 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Pillar</w:t>
            </w:r>
          </w:p>
        </w:tc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핵심 원리</w:t>
            </w:r>
          </w:p>
        </w:tc>
        <w:tc>
          <w:tcPr>
            <w:tcW w:type="dxa" w:w="4252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실행 메커니즘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① Graduated Disclosure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티어별 정보 공개</w:t>
            </w:r>
          </w:p>
        </w:tc>
        <w:tc>
          <w:tcPr>
            <w:tcW w:type="dxa" w:w="425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L0→L1→L2→L3 단계별 해금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② Regulatory Compliance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 완전 보호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자동 마스킹 + PII 분리 저장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③ End-to-End Process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거래 전 과정 내재화</w:t>
            </w:r>
          </w:p>
        </w:tc>
        <w:tc>
          <w:tcPr>
            <w:tcW w:type="dxa" w:w="425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NDA→LOI→에스크로→계약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④ Institution Lock-in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공급자 전속화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최저 수수료 + AI 평가 + B2B SaaS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⑤ Legal Safeguards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우회 방지 법적 장치</w:t>
            </w:r>
          </w:p>
        </w:tc>
        <w:tc>
          <w:tcPr>
            <w:tcW w:type="dxa" w:w="425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비우회 조항·감사로그·위약금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3.2  4단계 정보 공개 모델</w:t>
      </w:r>
    </w:p>
    <w:p>
      <w:pPr>
        <w:spacing w:after="120" w:line="312" w:lineRule="auto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McKinsey 7-Step 공개 전략을 NPL 거래 특성에 맞춰 4단계로 재구성한다. 핵심은 '판단에 필요한 정보'는 공개하되 '거래 실행에 필요한 권한'을 유료화하는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Tier</w:t>
            </w:r>
          </w:p>
        </w:tc>
        <w:tc>
          <w:tcPr>
            <w:tcW w:type="dxa" w:w="1984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진입 조건</w:t>
            </w:r>
          </w:p>
        </w:tc>
        <w:tc>
          <w:tcPr>
            <w:tcW w:type="dxa" w:w="4252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공개 필드 (누적)</w:t>
            </w:r>
          </w:p>
        </w:tc>
        <w:tc>
          <w:tcPr>
            <w:tcW w:type="dxa" w:w="1984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목적</w:t>
            </w:r>
          </w:p>
        </w:tc>
      </w:tr>
      <w:tr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L0</w:t>
            </w:r>
          </w:p>
        </w:tc>
        <w:tc>
          <w:tcPr>
            <w:tcW w:type="dxa" w:w="1984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무료·무로그인</w:t>
            </w:r>
          </w:p>
        </w:tc>
        <w:tc>
          <w:tcPr>
            <w:tcW w:type="dxa" w:w="425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채권잔액, 매각희망가, 할인율, 감정평가 요약, 담보종류, 지역(읍/면/동), 채무자유형</w:t>
            </w:r>
          </w:p>
        </w:tc>
        <w:tc>
          <w:tcPr>
            <w:tcW w:type="dxa" w:w="1984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트래픽·SEO 유입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L1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본인인증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감정평가서 PDF(마스킹), 등기요약, 권리관계, 임차요약, 유사 낙찰가, Q&amp;A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회원 풀 확보</w:t>
            </w:r>
          </w:p>
        </w:tc>
      </w:tr>
      <w:tr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L2</w:t>
            </w:r>
          </w:p>
        </w:tc>
        <w:tc>
          <w:tcPr>
            <w:tcW w:type="dxa" w:w="1984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전문투자자 + NDA</w:t>
            </w:r>
          </w:p>
        </w:tc>
        <w:tc>
          <w:tcPr>
            <w:tcW w:type="dxa" w:w="425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등기 원본, 실사 사진, 재무제표(법인), 채무자 통계(비식별), 매각자 기관명</w:t>
            </w:r>
          </w:p>
        </w:tc>
        <w:tc>
          <w:tcPr>
            <w:tcW w:type="dxa" w:w="1984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진지한 매수자 스크리닝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L3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LOI + 매각자 승인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매각자 공식 채널, 실사 원본, 협상 테이블, 에스크로 개설, 계약서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거래 완결 (플랫폼 락인)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3.3  정보 완성도 시스템 (Data Completeness Score)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금융기관마다 보유 자료 수준이 달라 일부 항목은 미제공 가능 — 이를 투명하게 점수화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필수(L0) 5점 + 선택(L1) 5개 항목 × 1점 = 총 10점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매물 카드에 '자료 8/10' 뱃지 표시, 미제공 항목은 ✗로 명시 (빈칸·추정치 금지)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완성도 9 이상 매물은 프리미엄 노출 무료 → 매각자의 자료 보충 동기 자연 유도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3.4  규제 준수 아키텍처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A. 개인정보 4중 방어선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[L1] 규칙: 매각자 업로드 시 자동 마스킹(정규식 + NER)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[L2] 검수: 매각자 1차 확인 + 운영자 2차 이중 검수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[L3] 격리: 민감 필드는 별도 암호화 테이블(debtor_sensitive_data)에 분리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[L4] 감사: 모든 L2/L3 접근 로그(pii_access_log) + 이상 패턴 탐지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B. 법적 포지셔닝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통신판매중개업자로서 중개 서비스만 제공, 채권 매매 당사자 아님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에스크로는 시중은행 파트너 연동 (전자금융거래법 라이선스 직접 보유 회피)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신용정보는 신용정보원 비식별 통계 데이터만 활용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금융위 NPL 매각 규정(공고·경쟁입찰)을 전자화하여 규제당국과 협력 포지션 구축</w:t>
      </w:r>
    </w:p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04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Operating Model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4.1  Revenue Model — 수수료 상한 0.9%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수익원</w:t>
            </w:r>
          </w:p>
        </w:tc>
        <w:tc>
          <w:tcPr>
            <w:tcW w:type="dxa" w:w="28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요율 / 단가</w:t>
            </w:r>
          </w:p>
        </w:tc>
        <w:tc>
          <w:tcPr>
            <w:tcW w:type="dxa" w:w="28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연 매출 추정</w:t>
            </w:r>
          </w:p>
        </w:tc>
      </w:tr>
      <w:tr>
        <w:tc>
          <w:tcPr>
            <w:tcW w:type="dxa" w:w="34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매각자 거래 수수료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0.5% 기본 ~ 0.9% (옵션)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300억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매수자 거래 수수료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0.5% 기본 ~ 0.9% (옵션)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300억</w:t>
            </w:r>
          </w:p>
        </w:tc>
      </w:tr>
      <w:tr>
        <w:tc>
          <w:tcPr>
            <w:tcW w:type="dxa" w:w="34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구독 (Pro 49만/월)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전문투자자 500명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구독 (Institutional 490만/월~)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기관 50곳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30억</w:t>
            </w:r>
          </w:p>
        </w:tc>
      </w:tr>
      <w:tr>
        <w:tc>
          <w:tcPr>
            <w:tcW w:type="dxa" w:w="34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에스크로 수수료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0.3%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180억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실사 대행·계약서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건당 300~1,500만원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50억</w:t>
            </w:r>
          </w:p>
        </w:tc>
      </w:tr>
      <w:tr>
        <w:tc>
          <w:tcPr>
            <w:tcW w:type="dxa" w:w="3402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B2B SaaS (마스킹·대시보드)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연 1~5억 × 20곳</w:t>
            </w:r>
          </w:p>
        </w:tc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합계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920억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4.2  Lock-in Architecture — 플랫폼 방어 장치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공급자 (매각자) 락인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업계 최저 수수료 0.5% (기존 중개 1~2%, 경매 3~5%)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AI 자동 평가 + 포트폴리오 대시보드 → 금융기관 내부 툴 대체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전속 매각 계약: 연 최소 규모 보장 시 수수료 0.3% 할인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포트폴리오 일괄 상장 + 자동 마스킹 → 운영 비용 절감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수요자 (매수자) 락인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NDA 비우회 조항: 체결 후 6개월 내 직거래 시 위약금(거래가 5%)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에스크로 의무화: 자금 흐름이 플랫폼을 통과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계약 이력·평판·거래 기록이 플랫폼에만 축적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유사 낙찰 DB·시장 인덱스는 플랫폼 외부에서 재현 불가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4.3  Organization — 필수 조직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Role</w:t>
            </w:r>
          </w:p>
        </w:tc>
        <w:tc>
          <w:tcPr>
            <w:tcW w:type="dxa" w:w="3969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책임</w:t>
            </w:r>
          </w:p>
        </w:tc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투입 시기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DPO (개인정보보호책임자)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 영향평가·사고 대응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준법감시인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금융 규제 자문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0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마스킹 검수팀 (2~3명)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문서 이중 검수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기관영업팀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저축은행·AMC 전속 계약 체결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5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CS·분쟁대응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NDA 위반·이용자 권리 요청 처리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4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05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fill="001E62"/>
          </w:tcPr>
          <w:p>
            <w:pPr>
              <w:spacing w:before="120" w:after="120"/>
            </w:pPr>
            <w:r>
              <w:rPr>
                <w:rFonts w:ascii="Malgun Gothic" w:hAnsi="Malgun Gothic"/>
                <w:b/>
                <w:color w:val="60A5FA"/>
                <w:sz w:val="18"/>
                <w:rFonts w:eastAsia="Malgun Gothic" w:ascii="Malgun Gothic" w:hAnsi="Malgun Gothic"/>
              </w:rPr>
              <w:t xml:space="preserve">KEY TAKEAWAY   </w:t>
            </w:r>
            <w:r>
              <w:rPr>
                <w:rFonts w:ascii="Malgun Gothic" w:hAnsi="Malgun Gothic"/>
                <w:b/>
                <w:color w:val="FFFFFF"/>
                <w:sz w:val="22"/>
                <w:rFonts w:eastAsia="Malgun Gothic" w:ascii="Malgun Gothic" w:hAnsi="Malgun Gothic"/>
              </w:rPr>
              <w:t>6 Phase · 30 Business Days — 데이터 계층에서 시작하여 사용자 인터페이스, 거래 인프라, 관리자 체계 순으로 통합 전개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5.1  Phase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551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Phase</w:t>
            </w:r>
          </w:p>
        </w:tc>
        <w:tc>
          <w:tcPr>
            <w:tcW w:type="dxa" w:w="1020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기간</w:t>
            </w:r>
          </w:p>
        </w:tc>
        <w:tc>
          <w:tcPr>
            <w:tcW w:type="dxa" w:w="3969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핵심 산출물</w:t>
            </w:r>
          </w:p>
        </w:tc>
        <w:tc>
          <w:tcPr>
            <w:tcW w:type="dxa" w:w="1531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의존성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0  데이터 계층</w:t>
            </w:r>
          </w:p>
        </w:tc>
        <w:tc>
          <w:tcPr>
            <w:tcW w:type="dxa" w:w="102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2일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타입 확장, 유틸, 데모 데이터, 공통 컴포넌트 11종</w:t>
            </w:r>
          </w:p>
        </w:tc>
        <w:tc>
          <w:tcPr>
            <w:tcW w:type="dxa" w:w="153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없음 (선행)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1  네비 &amp; 메인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4일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5대 메인 네비, 랜딩 페이지 전면 재작성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0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2  /exchange 목록·상세</w:t>
            </w:r>
          </w:p>
        </w:tc>
        <w:tc>
          <w:tcPr>
            <w:tcW w:type="dxa" w:w="102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8일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티어 게이팅, 완성도 뱃지, 탭 6종, TierGate 적용</w:t>
            </w:r>
          </w:p>
        </w:tc>
        <w:tc>
          <w:tcPr>
            <w:tcW w:type="dxa" w:w="153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0·1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3  거래 실행 인프라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5일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매각등록, NDA, LOI, 데이터룸, 에스크로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2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4  /my 사용자 영역</w:t>
            </w:r>
          </w:p>
        </w:tc>
        <w:tc>
          <w:tcPr>
            <w:tcW w:type="dxa" w:w="102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4일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본인인증, KYC, 계약이력, 개인정보, 결제</w:t>
            </w:r>
          </w:p>
        </w:tc>
        <w:tc>
          <w:tcPr>
            <w:tcW w:type="dxa" w:w="153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3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5  /admin 관리자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5일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마스킹 검수, PII 감사, 기관 관리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3</w:t>
            </w:r>
          </w:p>
        </w:tc>
      </w:tr>
      <w:tr>
        <w:tc>
          <w:tcPr>
            <w:tcW w:type="dxa" w:w="255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6  통합·상태머신</w:t>
            </w:r>
          </w:p>
        </w:tc>
        <w:tc>
          <w:tcPr>
            <w:tcW w:type="dxa" w:w="102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2일</w:t>
            </w:r>
          </w:p>
        </w:tc>
        <w:tc>
          <w:tcPr>
            <w:tcW w:type="dxa" w:w="3969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크로스 플로우, deal-state-machine, QA</w:t>
            </w:r>
          </w:p>
        </w:tc>
        <w:tc>
          <w:tcPr>
            <w:tcW w:type="dxa" w:w="153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전체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5.2  Phase 0 — Foundation (2일)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lib/db-types.ts — DealListing에 outstanding_principal, asking_price, appraisal, registry_summary, rights_structure, lease_summary, provided_fields, data_completeness, access_tier_required, debtor_type 추가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lib/access-tier.ts — getUserTier, canAccess, maskValue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lib/data-completeness.ts — calculateCompleteness, getBadgeStyle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lib/fee-calculator.ts — 상한 0.9% 수수료 계산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lib/audit-log.ts — logAccess, detectAnomaly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lib/masking/{engine,pdf,image}.ts — 마스킹 파이프라인 코어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lib/demo-data/listings.ts — 완성도 분포로 데모 데이터 재생성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공통 컴포넌트 11종 (TierBadge, TierGate, CompletenessBadge, ProvidedFieldsGrid, MaskedText, FieldRow, KpiCard, DisclosureNotice, AgreementPanel, RegulatoryNotice, AuditBadge)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5.3  Phase 1 — Navigation &amp; Landing (4일)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5대 메인 네비: 매물 | 거래 | 분석 | 서비스 | 내 정보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헤더에 사용자 티어 표시 + 업그레이드 CTA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메인 랜딩 8섹션 재작성: 히어로→가치 3카드→티어 시각화→KPI 미리보기→완성도 설명→기관 로고월→신뢰 배지→CTA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푸터 규제 고지 강화 (개인정보처리방침·DPO·통신판매중개업 신고번호)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5.4  Phase 2 — Exchange (8일, 핵심)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목록 페이지: 완성도 슬라이더, 티어 필터, 매물 카드 재디자인, 정렬 4종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상세 페이지: L0 히어로(KPI 4카드) + 탭 6종(개요·담보권리·자료·실사·Q&amp;A·절차계약)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각 탭 내부 TierGate로 필드별 L1/L2/L3 게이팅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사이드 스티키: 현재 티어, 업그레이드 단계, 관심/문의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L2/L3 표시 시 서버 측 logAccess 호출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5.5  Phase 3 — Transaction Infrastructure (5일)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/exchange/sell — 4단계 위저드(기본정보→자료 업로드→마스킹 미리보기→제출)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/exchange/[id]/nda — 전자 NDA 체결 (비밀유지·비우회·위약금 3체크)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/exchange/[id]/loi — LOI 제출 + 매각자 승인 플로우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/exchange/[id]/data-room — L3 전용 데이터룸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/exchange/[id]/escrow — 은행 파트너 계좌 개설 (모의)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5.6  Phase 4 — User Area (4일)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/my — 티어 대시보드, 업그레이드 단계, 진행중 거래 현황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/my/verify — 본인인증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/my/kyc — 전문투자자 인증 (자본시장법 기준)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/my/agreements — NDA·LOI 이력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/my/privacy — 개인정보 열람·정정·삭제·동의 철회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/my/billing — 구독(Basic/Pro/Institutional)·크레딧·수수료 내역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5.7  Phase 5 — Admin (5일)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/admin/listings 수정 — 심사 상태 컬럼, 완성도 필터, 마스킹 검수 체크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/admin/masking-queue — 자동 마스킹 결과 이중 검수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/admin/pii-audit — DPO 전용, 접근 로그·이상 탐지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/admin/institutions — 기관 등록·전속 계약 관리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/admin/agreements — NDA/LOI 현황·비우회 위반 플래그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/admin 대시보드 KPI 교체 — 월 상장, 완결률, 락인율, 침해 0건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5.8  Phase 6 — Integration (2일)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lib/deal-state-machine.ts — 매물·계약·에스크로 상태 전이 중앙 관리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매수자 여정·매각자 여정 E2E 연결 검증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QA 및 완료 기준 체크리스트 점검</w:t>
      </w:r>
    </w:p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06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Risk Matrix &amp;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위험 항목</w:t>
            </w:r>
          </w:p>
        </w:tc>
        <w:tc>
          <w:tcPr>
            <w:tcW w:type="dxa" w:w="850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가능성</w:t>
            </w:r>
          </w:p>
        </w:tc>
        <w:tc>
          <w:tcPr>
            <w:tcW w:type="dxa" w:w="850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영향도</w:t>
            </w:r>
          </w:p>
        </w:tc>
        <w:tc>
          <w:tcPr>
            <w:tcW w:type="dxa" w:w="45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완화 방안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자동 마스킹 누락 → 개인정보 노출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치명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이중 검수 + 매각자 서약 + 감사 로그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금융위·금감원 규제 해석 변동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대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준법감시인 상시 자문 + 규제당국 사전 협의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매각자 전속계약 확보 지연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대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초기 수수료 할인·프리미엄 노출 무상 제공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기존 중개업자의 반발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대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중개업자와 파트너십(공동 등록) 옵션 제공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매수자 허위 인증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KYC 다단계 + 자본시장법 전문투자자 기준 엄격 적용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에스크로 파트너 은행 확보 실패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소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대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복수 은행 병행 협상 + 신탁사 대안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비우회 위반 (직거래)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850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위약금 5% + 매각자 재상장 차단 + 감사 로그 증거력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ISMS-P 인증 지연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중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2부터 준비 착수, 외부 컨설팅 병행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07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Expected Impact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7.1  정량 기대효과 (12개월)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지표</w:t>
            </w:r>
          </w:p>
        </w:tc>
        <w:tc>
          <w:tcPr>
            <w:tcW w:type="dxa" w:w="1701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Baseline</w:t>
            </w:r>
          </w:p>
        </w:tc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Target</w:t>
            </w:r>
          </w:p>
        </w:tc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증감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월 상장 건수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20건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100건+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+400%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거래 완결률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10%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35%+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+25%p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매각자 락인율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30%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85%+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+55%p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평균 자료 완성도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4.0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7.5+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+88%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Institutional 고객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5곳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50곳+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+900%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연 거래 총액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500억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6,000억+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+1,100%</w:t>
            </w:r>
          </w:p>
        </w:tc>
      </w:tr>
      <w:tr>
        <w:tc>
          <w:tcPr>
            <w:tcW w:type="dxa" w:w="28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연 매출</w:t>
            </w:r>
          </w:p>
        </w:tc>
        <w:tc>
          <w:tcPr>
            <w:tcW w:type="dxa" w:w="1701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50억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920억+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+1,740%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 침해 사고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미측정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0건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완전 통제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7.2  정성 기대효과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규제당국 협력 포지션: 금감원·금융위의 NPL 매각 규정 전자화 파트너로 자리매김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시장 인프라 지위: NPL 거래의 '코스닥'에 해당하는 공식 인프라로 인식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데이터 자산화: 비식별 거래 DB가 시세 인덱스·리서치 상품으로 확장 가능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B2B 확장성: 마스킹 엔진 자체를 금융기관 대상 SaaS로 별도 판매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해외 진출 기반: 개인정보 보호 체계는 GDPR 호환으로 글로벌 확장 가능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7.3  경쟁 우위 유지 기간</w:t>
      </w:r>
    </w:p>
    <w:p>
      <w:pPr>
        <w:spacing w:after="80" w:line="312" w:lineRule="auto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본 전략 실행 후 18개월 내 구축되는 데이터·네트워크 효과는 후발 주자가 3~5년 이내에 복제하기 어려운 진입장벽을 형성한다.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정보 공개 모델: 3개월 내 복제 가능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자동 마스킹 기술: 6개월 내 복제 가능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전속 매각 계약: 12~18개월 확보 필요 (신규 진입자 사실상 불가)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거래 이력 DB: 24개월 이상 축적 필요 (복제 불가)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규제당국 신뢰 관계: 수년간 운영 실적 필요 (복제 불가)</w:t>
      </w:r>
    </w:p>
    <w:p>
      <w:r>
        <w:br w:type="page"/>
      </w:r>
    </w:p>
    <w:p>
      <w:pPr>
        <w:spacing w:before="360" w:after="160"/>
        <w:pBdr>
          <w:bottom w:val="single" w:sz="12" w:space="4" w:color="001E62"/>
        </w:pBdr>
      </w:pPr>
      <w:r>
        <w:rPr>
          <w:rFonts w:ascii="Malgun Gothic" w:hAnsi="Malgun Gothic"/>
          <w:b/>
          <w:color w:val="006BB6"/>
          <w:sz w:val="32"/>
          <w:rFonts w:eastAsia="Malgun Gothic" w:ascii="Malgun Gothic" w:hAnsi="Malgun Gothic"/>
        </w:rPr>
        <w:t xml:space="preserve">08  </w:t>
      </w:r>
      <w:r>
        <w:rPr>
          <w:rFonts w:ascii="Malgun Gothic" w:hAnsi="Malgun Gothic"/>
          <w:b/>
          <w:color w:val="001E62"/>
          <w:sz w:val="32"/>
          <w:rFonts w:eastAsia="Malgun Gothic" w:ascii="Malgun Gothic" w:hAnsi="Malgun Gothic"/>
        </w:rPr>
        <w:t>Appendix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A.  핵심 DB 스키마</w:t>
      </w:r>
    </w:p>
    <w:p>
      <w:pPr>
        <w:spacing w:after="80" w:line="312" w:lineRule="auto"/>
      </w:pPr>
      <w:r>
        <w:rPr>
          <w:rFonts w:ascii="Malgun Gothic" w:hAnsi="Malgun Gothic"/>
          <w:b/>
          <w:color w:val="3C3C3C"/>
          <w:sz w:val="20"/>
          <w:rFonts w:eastAsia="Malgun Gothic" w:ascii="Malgun Gothic" w:hAnsi="Malgun Gothic"/>
        </w:rPr>
        <w:t>deal_listings (공개 가능 담보·채권 정보)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outstanding_principal, asking_price, discount_rate — 핵심 재무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appraisal {value, date, agency, pdf_masked_url}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registry_summary, rights_structure, lease_summary — L1 요약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registry_full_url, lease_documents_url — L2 원본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provided_fields, data_completeness, access_tier_required — 접근 제어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collateral_region_code (읍/면/동), court_case_masked, debtor_type</w:t>
      </w:r>
    </w:p>
    <w:p>
      <w:pPr>
        <w:spacing w:after="80" w:line="312" w:lineRule="auto"/>
      </w:pPr>
      <w:r>
        <w:rPr>
          <w:rFonts w:ascii="Malgun Gothic" w:hAnsi="Malgun Gothic"/>
          <w:b/>
          <w:color w:val="3C3C3C"/>
          <w:sz w:val="20"/>
          <w:rFonts w:eastAsia="Malgun Gothic" w:ascii="Malgun Gothic" w:hAnsi="Malgun Gothic"/>
        </w:rPr>
        <w:t>debtor_sensitive_data (개인정보 분리 암호화)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encrypted_payload (AES-256), kms_key_id, access_restricted=TRUE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계약 체결 후 법적 채권양도 절차에서만 복호화</w:t>
      </w:r>
    </w:p>
    <w:p>
      <w:pPr>
        <w:spacing w:after="80" w:line="312" w:lineRule="auto"/>
      </w:pPr>
      <w:r>
        <w:rPr>
          <w:rFonts w:ascii="Malgun Gothic" w:hAnsi="Malgun Gothic"/>
          <w:b/>
          <w:color w:val="3C3C3C"/>
          <w:sz w:val="20"/>
          <w:rFonts w:eastAsia="Malgun Gothic" w:ascii="Malgun Gothic" w:hAnsi="Malgun Gothic"/>
        </w:rPr>
        <w:t>pii_access_log (감사 로그)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user_id, target_table, target_id, access_type, purpose, ip_address, accessed_at</w:t>
      </w:r>
    </w:p>
    <w:p>
      <w:pPr>
        <w:spacing w:after="80" w:line="312" w:lineRule="auto"/>
      </w:pPr>
      <w:r>
        <w:rPr>
          <w:rFonts w:ascii="Malgun Gothic" w:hAnsi="Malgun Gothic"/>
          <w:b/>
          <w:color w:val="3C3C3C"/>
          <w:sz w:val="20"/>
          <w:rFonts w:eastAsia="Malgun Gothic" w:ascii="Malgun Gothic" w:hAnsi="Malgun Gothic"/>
        </w:rPr>
        <w:t>deal_agreements (NDA/LOI 이력)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listing_id, user_id, agreement_type, signed_at, signature_hash, non_circumvention_until</w:t>
      </w:r>
    </w:p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B.  필수 인허가·신고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항목</w:t>
            </w:r>
          </w:p>
        </w:tc>
        <w:tc>
          <w:tcPr>
            <w:tcW w:type="dxa" w:w="2268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근거 법령</w:t>
            </w:r>
          </w:p>
        </w:tc>
        <w:tc>
          <w:tcPr>
            <w:tcW w:type="dxa" w:w="4535"/>
            <w:shd w:fill="001E62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  <w:rFonts w:eastAsia="Malgun Gothic" w:ascii="Malgun Gothic" w:hAnsi="Malgun Gothic"/>
              </w:rPr>
              <w:t>대응 방안</w:t>
            </w:r>
          </w:p>
        </w:tc>
      </w:tr>
      <w:tr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통신판매중개업 신고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전자상거래법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0 즉시 신고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개인정보처리자 지정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개인정보보호법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DPO 선임·개인정보 영향평가</w:t>
            </w:r>
          </w:p>
        </w:tc>
      </w:tr>
      <w:tr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ISMS-P 인증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정보통신망법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Phase 2 착수·Phase 4 완료 목표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에스크로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전자금융거래법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시중은행 파트너 연동 (직접 보유 회피)</w:t>
            </w:r>
          </w:p>
        </w:tc>
      </w:tr>
      <w:tr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전문투자자 확인</w:t>
            </w:r>
          </w:p>
        </w:tc>
        <w:tc>
          <w:tcPr>
            <w:tcW w:type="dxa" w:w="2268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자본시장법</w:t>
            </w:r>
          </w:p>
        </w:tc>
        <w:tc>
          <w:tcPr>
            <w:tcW w:type="dxa" w:w="4535"/>
            <w:shd w:fill="F4F6FA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KYC 단계 적용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신용정보 이용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신용정보법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Malgun Gothic" w:hAnsi="Malgun Gothic"/>
                <w:b w:val="0"/>
                <w:color w:val="3C3C3C"/>
                <w:sz w:val="18"/>
                <w:rFonts w:eastAsia="Malgun Gothic" w:ascii="Malgun Gothic" w:hAnsi="Malgun Gothic"/>
              </w:rPr>
              <w:t>비식별 통계만 활용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006BB6"/>
          <w:sz w:val="24"/>
          <w:rFonts w:eastAsia="Malgun Gothic" w:ascii="Malgun Gothic" w:hAnsi="Malgun Gothic"/>
        </w:rPr>
        <w:t xml:space="preserve">▌ </w:t>
      </w:r>
      <w:r>
        <w:rPr>
          <w:rFonts w:ascii="Malgun Gothic" w:hAnsi="Malgun Gothic"/>
          <w:b/>
          <w:color w:val="001E62"/>
          <w:sz w:val="24"/>
          <w:rFonts w:eastAsia="Malgun Gothic" w:ascii="Malgun Gothic" w:hAnsi="Malgun Gothic"/>
        </w:rPr>
        <w:t>C.  완료 기준 체크리스트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기능 요건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L0~L3 티어 게이팅이 모든 민감 필드에 적용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매물 카드·상세에 완성도 뱃지 표시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매각자 업로드 → 자동 마스킹 → 검수 → 공개 플로우 동작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NDA·LOI 체결 후 티어 자동 해금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L2/L3 접근이 pii_access_log에 기록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수수료 상한 0.9% 자동 적용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관리자 마스킹 검수·PII 감사 대시보드 동작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디자인 요건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모든 다크 섹션 인라인 C.bgN 사용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dark: variant·shadcn·card-elevated·금지 import 전무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티어·완성도·규제 색상 일관 적용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공통 컴포넌트 11종이 전 페이지에서 재사용</w:t>
      </w:r>
    </w:p>
    <w:p>
      <w:pPr>
        <w:spacing w:before="160" w:after="40"/>
      </w:pPr>
      <w:r>
        <w:rPr>
          <w:rFonts w:ascii="Malgun Gothic" w:hAnsi="Malgun Gothic"/>
          <w:b/>
          <w:color w:val="006BB6"/>
          <w:sz w:val="22"/>
          <w:rFonts w:eastAsia="Malgun Gothic" w:ascii="Malgun Gothic" w:hAnsi="Malgun Gothic"/>
        </w:rPr>
        <w:t>규제 요건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개인정보처리방침·약관·NDA 템플릿 페이지 존재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이용자 권리(열람·정정·삭제) 관리 페이지 동작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DPO 연락처 푸터 노출</w:t>
      </w:r>
    </w:p>
    <w:p>
      <w:pPr>
        <w:pStyle w:val="ListBullet"/>
        <w:spacing w:after="40" w:line="312" w:lineRule="auto"/>
        <w:ind w:left="340"/>
      </w:pPr>
      <w:r>
        <w:rPr>
          <w:rFonts w:ascii="Malgun Gothic" w:hAnsi="Malgun Gothic"/>
          <w:b w:val="0"/>
          <w:color w:val="3C3C3C"/>
          <w:sz w:val="20"/>
          <w:rFonts w:eastAsia="Malgun Gothic" w:ascii="Malgun Gothic" w:hAnsi="Malgun Gothic"/>
        </w:rPr>
        <w:t>규제 고지 문구 상세·데이터룸·NDA 페이지에 일괄 표시</w:t>
      </w:r>
    </w:p>
    <w:p/>
    <w:p>
      <w:pPr>
        <w:jc w:val="center"/>
      </w:pPr>
      <w:r>
        <w:rPr>
          <w:rFonts w:ascii="Calibri" w:hAnsi="Calibri"/>
          <w:b w:val="0"/>
          <w:color w:val="808080"/>
          <w:sz w:val="18"/>
          <w:rFonts w:eastAsia="Malgun Gothic" w:ascii="Calibri" w:hAnsi="Calibri"/>
        </w:rPr>
        <w:t>— END OF REPORT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color w:val="3C3C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