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Tresor SHYAKA</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the company Chief Technology Officer (CTO). he is </w:t>
      </w:r>
      <w:r w:rsidDel="00000000" w:rsidR="00000000" w:rsidRPr="00000000">
        <w:rPr>
          <w:rFonts w:ascii="Times New Roman" w:cs="Times New Roman" w:eastAsia="Times New Roman" w:hAnsi="Times New Roman"/>
          <w:color w:val="202124"/>
          <w:sz w:val="24"/>
          <w:szCs w:val="24"/>
          <w:highlight w:val="white"/>
          <w:rtl w:val="0"/>
        </w:rPr>
        <w:t xml:space="preserve">responsible for overseeing the development and dissemination of technology for external customers, vendors, and other clients to help improve and increase business</w:t>
      </w:r>
      <w:r w:rsidDel="00000000" w:rsidR="00000000" w:rsidRPr="00000000">
        <w:rPr>
          <w:rtl w:val="0"/>
        </w:rPr>
      </w:r>
    </w:p>
    <w:p w:rsidR="00000000" w:rsidDel="00000000" w:rsidP="00000000" w:rsidRDefault="00000000" w:rsidRPr="00000000" w14:paraId="0000000F">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 The Employee is regarded as personally responsible</w:t>
      </w:r>
      <w:r w:rsidDel="00000000" w:rsidR="00000000" w:rsidRPr="00000000">
        <w:rPr>
          <w:rFonts w:ascii="Times New Roman" w:cs="Times New Roman" w:eastAsia="Times New Roman" w:hAnsi="Times New Roman"/>
          <w:sz w:val="24"/>
          <w:szCs w:val="24"/>
          <w:rtl w:val="0"/>
        </w:rPr>
        <w:t xml:space="preserve"> for any equipment , cash, </w:t>
      </w:r>
      <w:r w:rsidDel="00000000" w:rsidR="00000000" w:rsidRPr="00000000">
        <w:rPr>
          <w:rtl w:val="0"/>
        </w:rPr>
      </w:r>
    </w:p>
    <w:p w:rsidR="00000000" w:rsidDel="00000000" w:rsidP="00000000" w:rsidRDefault="00000000" w:rsidRPr="00000000" w14:paraId="00000010">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Employee shall be provided with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is requested to work a minimum of 10 hours a week at the office plus more remotely.</w:t>
      </w:r>
      <w:r w:rsidDel="00000000" w:rsidR="00000000" w:rsidRPr="00000000">
        <w:rPr>
          <w:rtl w:val="0"/>
        </w:rPr>
      </w:r>
    </w:p>
    <w:p w:rsidR="00000000" w:rsidDel="00000000" w:rsidP="00000000" w:rsidRDefault="00000000" w:rsidRPr="00000000" w14:paraId="00000014">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6">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100, 000 RWF per month net. </w:t>
      </w:r>
    </w:p>
    <w:p w:rsidR="00000000" w:rsidDel="00000000" w:rsidP="00000000" w:rsidRDefault="00000000" w:rsidRPr="00000000" w14:paraId="00000017">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pays the Payee and RSSB health insurance.</w:t>
      </w:r>
    </w:p>
    <w:p w:rsidR="00000000" w:rsidDel="00000000" w:rsidP="00000000" w:rsidRDefault="00000000" w:rsidRPr="00000000" w14:paraId="00000018">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covers the lunch meal for the employee on workdays when the employee is working. </w:t>
      </w:r>
    </w:p>
    <w:p w:rsidR="00000000" w:rsidDel="00000000" w:rsidP="00000000" w:rsidRDefault="00000000" w:rsidRPr="00000000" w14:paraId="00000019">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For each year of completed employment, he shall receive an adjustment for the previous year’s inflation as communicated by the Government of Rwanda. </w:t>
      </w:r>
    </w:p>
    <w:p w:rsidR="00000000" w:rsidDel="00000000" w:rsidP="00000000" w:rsidRDefault="00000000" w:rsidRPr="00000000" w14:paraId="0000001A">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B">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working hours are 20 hours per week although sometimes an employee might be requested to accomplish tasks during the weekend or after working hours.</w:t>
      </w:r>
      <w:r w:rsidDel="00000000" w:rsidR="00000000" w:rsidRPr="00000000">
        <w:rPr>
          <w:rtl w:val="0"/>
        </w:rPr>
      </w:r>
    </w:p>
    <w:p w:rsidR="00000000" w:rsidDel="00000000" w:rsidP="00000000" w:rsidRDefault="00000000" w:rsidRPr="00000000" w14:paraId="0000001C">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E">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E">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0">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3">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5">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3F">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1">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2">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organize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3">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organize or otherwise be involved in any activities that may be considered to conflict with the best interest of the Company, including: </w:t>
      </w:r>
    </w:p>
    <w:p w:rsidR="00000000" w:rsidDel="00000000" w:rsidP="00000000" w:rsidRDefault="00000000" w:rsidRPr="00000000" w14:paraId="00000044">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5">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6">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7">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8">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6">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