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 w:before="1600"/>
        <w:jc w:val="center"/>
      </w:pPr>
      <w:r>
        <w:rPr>
          <w:rFonts w:ascii="Arial" w:cs="Arial" w:eastAsia="Arial" w:hAnsi="Arial"/>
          <w:b/>
          <w:bCs/>
          <w:color w:val="0D1B2A"/>
          <w:sz w:val="52"/>
          <w:szCs w:val="52"/>
        </w:rPr>
        <w:t xml:space="preserve">Crypto Intelligence System V10.0</w:t>
      </w:r>
    </w:p>
    <w:p>
      <w:pPr>
        <w:spacing w:after="180" w:before="0"/>
        <w:jc w:val="center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Объединённый документ схем — V5 (финальная)</w:t>
      </w:r>
    </w:p>
    <w:p>
      <w:pPr>
        <w:spacing w:after="500" w:before="80"/>
        <w:jc w:val="center"/>
      </w:pPr>
      <w:r>
        <w:rPr>
          <w:rFonts w:ascii="Arial" w:cs="Arial" w:eastAsia="Arial" w:hAnsi="Arial"/>
          <w:i/>
          <w:iCs/>
          <w:color w:val="5B6472"/>
          <w:sz w:val="21"/>
          <w:szCs w:val="21"/>
        </w:rPr>
        <w:t xml:space="preserve">17 схем · v6.3 Sealed Pre-Live Edition · V10.0-r1 · Апрель 2026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Схема</w:t>
            </w:r>
          </w:p>
        </w:tc>
        <w:tc>
          <w:tcPr>
            <w:tcW w:type="dxa" w:w="1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Статус</w:t>
            </w:r>
          </w:p>
        </w:tc>
        <w:tc>
          <w:tcPr>
            <w:tcW w:type="dxa" w:w="5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Ключевое изменение v6.3</w:t>
            </w:r>
          </w:p>
        </w:tc>
      </w:tr>
      <w:tr>
        <w:tc>
          <w:tcPr>
            <w:tcW w:type="dxa" w:w="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Контекст V10</w:t>
            </w:r>
          </w:p>
        </w:tc>
        <w:tc>
          <w:tcPr>
            <w:tcW w:type="dxa" w:w="1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Без изменений</w:t>
            </w:r>
          </w:p>
        </w:tc>
        <w:tc>
          <w:tcPr>
            <w:tcW w:type="dxa" w:w="5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Верхнеуровневая архитектура</w:t>
            </w:r>
          </w:p>
        </w:tc>
        <w:tc>
          <w:tcPr>
            <w:tcW w:type="dxa" w:w="1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Без изменений</w:t>
            </w:r>
          </w:p>
        </w:tc>
        <w:tc>
          <w:tcPr>
            <w:tcW w:type="dxa" w:w="5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Поток данных</w:t>
            </w:r>
          </w:p>
        </w:tc>
        <w:tc>
          <w:tcPr>
            <w:tcW w:type="dxa" w:w="1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✓ ОБНОВЛЕНА</w:t>
            </w:r>
          </w:p>
        </w:tc>
        <w:tc>
          <w:tcPr>
            <w:tcW w:type="dxa" w:w="5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Two-transaction model, Config Governance, Tx_Feedback</w:t>
            </w:r>
          </w:p>
        </w:tc>
      </w:tr>
      <w:tr>
        <w:tc>
          <w:tcPr>
            <w:tcW w:type="dxa" w:w="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Внутренний путь прогноза</w:t>
            </w:r>
          </w:p>
        </w:tc>
        <w:tc>
          <w:tcPr>
            <w:tcW w:type="dxa" w:w="1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✓ ОБНОВЛЕНА</w:t>
            </w:r>
          </w:p>
        </w:tc>
        <w:tc>
          <w:tcPr>
            <w:tcW w:type="dxa" w:w="5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Feasibility Temporal Contract, Y_t, X_exec outcomes</w:t>
            </w:r>
          </w:p>
        </w:tc>
      </w:tr>
      <w:tr>
        <w:tc>
          <w:tcPr>
            <w:tcW w:type="dxa" w:w="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Feedback &amp; Control Loop</w:t>
            </w:r>
          </w:p>
        </w:tc>
        <w:tc>
          <w:tcPr>
            <w:tcW w:type="dxa" w:w="1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Без изменений</w:t>
            </w:r>
          </w:p>
        </w:tc>
        <w:tc>
          <w:tcPr>
            <w:tcW w:type="dxa" w:w="5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Fast/Slow split из v6.0</w:t>
            </w:r>
          </w:p>
        </w:tc>
      </w:tr>
      <w:tr>
        <w:tc>
          <w:tcPr>
            <w:tcW w:type="dxa" w:w="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Эпистемическая архитектура</w:t>
            </w:r>
          </w:p>
        </w:tc>
        <w:tc>
          <w:tcPr>
            <w:tcW w:type="dxa" w:w="1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Без изменений</w:t>
            </w:r>
          </w:p>
        </w:tc>
        <w:tc>
          <w:tcPr>
            <w:tcW w:type="dxa" w:w="5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AXM/PRI/PAT неизменны</w:t>
            </w:r>
          </w:p>
        </w:tc>
      </w:tr>
      <w:tr>
        <w:tc>
          <w:tcPr>
            <w:tcW w:type="dxa" w:w="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Переход V10→V11</w:t>
            </w:r>
          </w:p>
        </w:tc>
        <w:tc>
          <w:tcPr>
            <w:tcW w:type="dxa" w:w="1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Без изменений</w:t>
            </w:r>
          </w:p>
        </w:tc>
        <w:tc>
          <w:tcPr>
            <w:tcW w:type="dxa" w:w="5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A1</w:t>
            </w:r>
          </w:p>
        </w:tc>
        <w:tc>
          <w:tcPr>
            <w:tcW w:type="dxa" w:w="2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Узкие места</w:t>
            </w:r>
          </w:p>
        </w:tc>
        <w:tc>
          <w:tcPr>
            <w:tcW w:type="dxa" w:w="1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Без изменений</w:t>
            </w:r>
          </w:p>
        </w:tc>
        <w:tc>
          <w:tcPr>
            <w:tcW w:type="dxa" w:w="5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A5</w:t>
            </w:r>
          </w:p>
        </w:tc>
        <w:tc>
          <w:tcPr>
            <w:tcW w:type="dxa" w:w="2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Scope Drift</w:t>
            </w:r>
          </w:p>
        </w:tc>
        <w:tc>
          <w:tcPr>
            <w:tcW w:type="dxa" w:w="1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Без изменений</w:t>
            </w:r>
          </w:p>
        </w:tc>
        <w:tc>
          <w:tcPr>
            <w:tcW w:type="dxa" w:w="5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B1</w:t>
            </w:r>
          </w:p>
        </w:tc>
        <w:tc>
          <w:tcPr>
            <w:tcW w:type="dxa" w:w="2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Stale Cache Policy</w:t>
            </w:r>
          </w:p>
        </w:tc>
        <w:tc>
          <w:tcPr>
            <w:tcW w:type="dxa" w:w="1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Без изменений</w:t>
            </w:r>
          </w:p>
        </w:tc>
        <w:tc>
          <w:tcPr>
            <w:tcW w:type="dxa" w:w="5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B2</w:t>
            </w:r>
          </w:p>
        </w:tc>
        <w:tc>
          <w:tcPr>
            <w:tcW w:type="dxa" w:w="2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Fast/Slow Feedback</w:t>
            </w:r>
          </w:p>
        </w:tc>
        <w:tc>
          <w:tcPr>
            <w:tcW w:type="dxa" w:w="1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Без изменений</w:t>
            </w:r>
          </w:p>
        </w:tc>
        <w:tc>
          <w:tcPr>
            <w:tcW w:type="dxa" w:w="5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B3</w:t>
            </w:r>
          </w:p>
        </w:tc>
        <w:tc>
          <w:tcPr>
            <w:tcW w:type="dxa" w:w="2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State Registry + Dampening</w:t>
            </w:r>
          </w:p>
        </w:tc>
        <w:tc>
          <w:tcPr>
            <w:tcW w:type="dxa" w:w="1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Без изменений</w:t>
            </w:r>
          </w:p>
        </w:tc>
        <w:tc>
          <w:tcPr>
            <w:tcW w:type="dxa" w:w="5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C1</w:t>
            </w:r>
          </w:p>
        </w:tc>
        <w:tc>
          <w:tcPr>
            <w:tcW w:type="dxa" w:w="2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Runtime Update Schedule</w:t>
            </w:r>
          </w:p>
        </w:tc>
        <w:tc>
          <w:tcPr>
            <w:tcW w:type="dxa" w:w="1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⊕ НОВАЯ</w:t>
            </w:r>
          </w:p>
        </w:tc>
        <w:tc>
          <w:tcPr>
            <w:tcW w:type="dxa" w:w="5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Step 0-15, два transaction boundary, commit point</w:t>
            </w:r>
          </w:p>
        </w:tc>
      </w:tr>
      <w:tr>
        <w:tc>
          <w:tcPr>
            <w:tcW w:type="dxa" w:w="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C2</w:t>
            </w:r>
          </w:p>
        </w:tc>
        <w:tc>
          <w:tcPr>
            <w:tcW w:type="dxa" w:w="2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Decision Policy Operator</w:t>
            </w:r>
          </w:p>
        </w:tc>
        <w:tc>
          <w:tcPr>
            <w:tcW w:type="dxa" w:w="1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⊕ НОВАЯ</w:t>
            </w:r>
          </w:p>
        </w:tc>
        <w:tc>
          <w:tcPr>
            <w:tcW w:type="dxa" w:w="5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P1-P11, P6a/P6b split, Uncertainty Escalation 2.5</w:t>
            </w:r>
          </w:p>
        </w:tc>
      </w:tr>
      <w:tr>
        <w:tc>
          <w:tcPr>
            <w:tcW w:type="dxa" w:w="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C3</w:t>
            </w:r>
          </w:p>
        </w:tc>
        <w:tc>
          <w:tcPr>
            <w:tcW w:type="dxa" w:w="2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Feasibility Temporal Contract</w:t>
            </w:r>
          </w:p>
        </w:tc>
        <w:tc>
          <w:tcPr>
            <w:tcW w:type="dxa" w:w="1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⊕ НОВАЯ</w:t>
            </w:r>
          </w:p>
        </w:tc>
        <w:tc>
          <w:tcPr>
            <w:tcW w:type="dxa" w:w="5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Step 11 три выхода, current vs next cycle</w:t>
            </w:r>
          </w:p>
        </w:tc>
      </w:tr>
      <w:tr>
        <w:tc>
          <w:tcPr>
            <w:tcW w:type="dxa" w:w="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C4</w:t>
            </w:r>
          </w:p>
        </w:tc>
        <w:tc>
          <w:tcPr>
            <w:tcW w:type="dxa" w:w="2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Open Questions Register</w:t>
            </w:r>
          </w:p>
        </w:tc>
        <w:tc>
          <w:tcPr>
            <w:tcW w:type="dxa" w:w="1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⊕ НОВАЯ</w:t>
            </w:r>
          </w:p>
        </w:tc>
        <w:tc>
          <w:tcPr>
            <w:tcW w:type="dxa" w:w="5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25 вопросов, 4 класса, RT-09..RT-11</w:t>
            </w:r>
          </w:p>
        </w:tc>
      </w:tr>
      <w:tr>
        <w:tc>
          <w:tcPr>
            <w:tcW w:type="dxa" w:w="800"/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hAnsi="Arial" w:cs="Arial"/>
                <w:b/>
                <w:bCs/>
                <w:color w:val="1A6B3C"/>
                <w:sz w:val="18"/>
                <w:szCs w:val="18"/>
              </w:rPr>
              <w:t>C5</w:t>
            </w:r>
          </w:p>
        </w:tc>
        <w:tc>
          <w:tcPr>
            <w:tcW w:type="dxa" w:w="2400"/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hAnsi="Arial" w:cs="Arial"/>
                <w:b/>
                <w:bCs/>
                <w:color w:val="1A6B3C"/>
                <w:sz w:val="18"/>
                <w:szCs w:val="18"/>
              </w:rPr>
              <w:t>Операциональный контур</w:t>
            </w:r>
          </w:p>
        </w:tc>
        <w:tc>
          <w:tcPr>
            <w:tcW w:type="dxa" w:w="1400"/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hAnsi="Arial" w:cs="Arial"/>
                <w:b/>
                <w:bCs/>
                <w:color w:val="1A6B3C"/>
                <w:sz w:val="18"/>
                <w:szCs w:val="18"/>
              </w:rPr>
              <w:t>"НОВАЯ V10.0-r1</w:t>
            </w:r>
          </w:p>
        </w:tc>
        <w:tc>
          <w:tcPr>
            <w:tcW w:type="dxa" w:w="4760"/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hAnsi="Arial" w:cs="Arial"/>
                <w:color w:val="1A1A2E"/>
                <w:sz w:val="18"/>
                <w:szCs w:val="18"/>
              </w:rPr>
              <w:t>Трейдер + Claude + Система + GPT. Операциональный контур как система встроена в реальный рабочий процесс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spacing w:after="80" w:before="200"/>
      </w:pPr>
    </w:p>
    <w:tbl>
      <w:tblPr>
        <w:tblW w:type="dxa" w:w="9200"/>
        <w:tblBorders>
          <w:top w:val="single" w:color="059669" w:sz="12"/>
          <w:left w:val="single" w:color="059669" w:sz="12"/>
          <w:bottom w:val="single" w:color="059669" w:sz="6"/>
          <w:right w:val="single" w:color="059669" w:sz="6"/>
          <w:insideH w:val="none" w:color="auto" w:sz="0"/>
          <w:insideV w:val="none" w:color="auto" w:sz="0"/>
        </w:tblBorders>
        <w:tblCellMar>
          <w:top w:type="dxa" w:w="120"/>
          <w:left w:type="dxa" w:w="200"/>
          <w:bottom w:type="dxa" w:w="120"/>
          <w:right w:type="dxa" w:w="200"/>
        </w:tblCellMar>
      </w:tblPr>
      <w:tblGrid>
        <w:gridCol w:w="9200"/>
      </w:tblGrid>
      <w:tr>
        <w:tc>
          <w:tcPr>
            <w:tcW w:type="dxa" w:w="9200"/>
            <w:shd w:fill="F0FB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>Канон трёх документов — три роли — один источник истины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Mathematical Model v6.3 (57 разделов) — математика, уравнения, contracts, governance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>Schematics V4 (этот документ) — визуализация архитектуры и runtime semantics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ТЗ V10.0-r1 — операциональный документ: 30 задач, Phase Gates, acceptance criteria</w:t>
            </w:r>
          </w:p>
          <w:p>
            <w:pPr>
              <w:spacing w:after="50" w:before="60"/>
            </w:pPr>
            <w:r>
              <w:rPr>
                <w:rFonts w:ascii="Arial" w:cs="Arial" w:eastAsia="Arial" w:hAnsi="Arial"/>
                <w:i/>
                <w:iCs/>
                <w:color w:val="5B6472"/>
                <w:sz w:val="19"/>
                <w:szCs w:val="19"/>
              </w:rPr>
              <w:t xml:space="preserve">Начни с Mathematical Model v6.3 Intro (разделы 0.1/0.2/0.3) — пояснительная записка, навигационная карта и аннотации всех 57 разделов.</w:t>
            </w:r>
          </w:p>
        </w:tc>
      </w:tr>
    </w:tbl>
    <w:p>
      <w:pPr>
        <w:spacing w:after="0" w:before="200"/>
      </w:pPr>
    </w:p>
    <w:p>
      <w:pPr>
        <w:spacing w:after="180" w:before="40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ЧАСТЬ I — АРХИТЕКТУРНЫЕ СХЕМЫ (схемы 1-7)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Схемы 1-7 показывают архитектуру системы. Схемы 3 и 4 обновлены для v6.3.</w:t>
      </w:r>
    </w:p>
    <w:p>
      <w:pPr>
        <w:spacing w:after="0" w:before="80"/>
      </w:pPr>
    </w:p>
    <w:p>
      <w:pPr>
        <w:spacing w:after="0" w:before="160"/>
      </w:pPr>
    </w:p>
    <w:p>
      <w:pPr>
        <w:spacing w:after="120" w:before="26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1. Контекст проекта и граница V10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Граница V10/V11 зафиксирована Canon Scope Lock. V10 = Research &amp; Signal Canon. V11+ требует Transition Gate.</w:t>
      </w:r>
    </w:p>
    <w:p>
      <w:pPr>
        <w:spacing w:after="100" w:before="100"/>
        <w:jc w:val="center"/>
      </w:pPr>
      <w:r>
        <w:drawing>
          <wp:inline distT="0" distB="0" distL="0" distR="0">
            <wp:extent cx="5334000" cy="1838325"/>
            <wp:effectExtent t="0" r="0" b="0" l="0"/>
            <wp:docPr id="1" name="schema_1_context.png" descr="schema_1_context.png" title="schema_1_contex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5" w:before="35"/>
        <w:ind w:left="400"/>
      </w:pPr>
      <w:r>
        <w:rPr>
          <w:rFonts w:ascii="Arial" w:cs="Arial" w:eastAsia="Arial" w:hAnsi="Arial"/>
          <w:i/>
          <w:iCs/>
          <w:color w:val="5B6472"/>
          <w:sz w:val="19"/>
          <w:szCs w:val="19"/>
        </w:rPr>
        <w:t xml:space="preserve">Связь с моделью v6.3: разделы 1, 2, 3, 9 (AXM scope)</w:t>
      </w:r>
    </w:p>
    <w:p>
      <w:pPr>
        <w:spacing w:after="0" w:before="160"/>
      </w:pPr>
    </w:p>
    <w:p>
      <w:pPr>
        <w:spacing w:after="120" w:before="26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2. Верхнеуровневая архитектура V10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Validation → Model Core только через Feedback. Return arrow (замкнутая петля).</w:t>
      </w:r>
    </w:p>
    <w:p>
      <w:pPr>
        <w:spacing w:after="100" w:before="100"/>
        <w:jc w:val="center"/>
      </w:pPr>
      <w:r>
        <w:drawing>
          <wp:inline distT="0" distB="0" distL="0" distR="0">
            <wp:extent cx="5334000" cy="5819775"/>
            <wp:effectExtent t="0" r="0" b="0" l="0"/>
            <wp:docPr id="1" name="schema_2_architecture.png" descr="schema_2_architecture.png" title="schema_2_archite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1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5" w:before="35"/>
        <w:ind w:left="400"/>
      </w:pPr>
      <w:r>
        <w:rPr>
          <w:rFonts w:ascii="Arial" w:cs="Arial" w:eastAsia="Arial" w:hAnsi="Arial"/>
          <w:i/>
          <w:iCs/>
          <w:color w:val="5B6472"/>
          <w:sz w:val="19"/>
          <w:szCs w:val="19"/>
        </w:rPr>
        <w:t xml:space="preserve">Связь с моделью v6.3: разделы 2, 3, 11, 40 (8 слоёв LAYER_A-H)</w:t>
      </w:r>
    </w:p>
    <w:p>
      <w:pPr>
        <w:spacing w:after="0" w:before="160"/>
      </w:pPr>
    </w:p>
    <w:p>
      <w:pPr>
        <w:spacing w:after="120" w:before="26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3. Поток данных + Two-Transaction Model</w:t>
      </w:r>
    </w:p>
    <w:p>
      <w:pPr>
        <w:pBdr>
          <w:left w:val="single" w:color="059669" w:sz="12"/>
        </w:pBdr>
        <w:shd w:fill="F0FBF4" w:color="F0FBF4" w:val="solid"/>
        <w:spacing w:after="55" w:before="55"/>
      </w:pPr>
      <w:r>
        <w:rPr>
          <w:rFonts w:ascii="Arial" w:cs="Arial" w:eastAsia="Arial" w:hAnsi="Arial"/>
          <w:b/>
          <w:bCs/>
          <w:color w:val="059669"/>
          <w:sz w:val="19"/>
          <w:szCs w:val="19"/>
        </w:rPr>
        <w:t xml:space="preserve">✓ v6.3: ✓ ОБНОВЛЕНА v6.3: Two-transaction model (Tx_Forecast / Tx_Feedback), Config Governance Partition (3 класса), Step 0 Selection Rule.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Левая часть: Tx_Forecast(t) — основной поток прогноза. Правая часть: Tx_Feedback(t→t+1) — Step 0 с Selection Rule. Два транзакционных объекта никогда не смешиваются.</w:t>
      </w:r>
    </w:p>
    <w:p>
      <w:pPr>
        <w:spacing w:after="100" w:before="100"/>
        <w:jc w:val="center"/>
      </w:pPr>
      <w:r>
        <w:drawing>
          <wp:inline distT="0" distB="0" distL="0" distR="0">
            <wp:extent cx="5334000" cy="2314575"/>
            <wp:effectExtent t="0" r="0" b="0" l="0"/>
            <wp:docPr id="1" name="schema_3_dataflow.png" descr="schema_3_dataflow.png" title="schema_3_dataf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5" w:before="35"/>
        <w:ind w:left="400"/>
      </w:pPr>
      <w:r>
        <w:rPr>
          <w:rFonts w:ascii="Arial" w:cs="Arial" w:eastAsia="Arial" w:hAnsi="Arial"/>
          <w:i/>
          <w:iCs/>
          <w:color w:val="5B6472"/>
          <w:sz w:val="19"/>
          <w:szCs w:val="19"/>
        </w:rPr>
        <w:t xml:space="preserve">Связь с моделью v6.3: разделы 40, 46, 47, 49, 52</w:t>
      </w:r>
    </w:p>
    <w:p>
      <w:pPr>
        <w:spacing w:after="0" w:before="160"/>
      </w:pPr>
    </w:p>
    <w:p>
      <w:pPr>
        <w:spacing w:after="120" w:before="26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4. Внутренний путь прогнозирования + Feasibility Temporal Contract</w:t>
      </w:r>
    </w:p>
    <w:p>
      <w:pPr>
        <w:pBdr>
          <w:left w:val="single" w:color="059669" w:sz="12"/>
        </w:pBdr>
        <w:shd w:fill="F0FBF4" w:color="F0FBF4" w:val="solid"/>
        <w:spacing w:after="55" w:before="55"/>
      </w:pPr>
      <w:r>
        <w:rPr>
          <w:rFonts w:ascii="Arial" w:cs="Arial" w:eastAsia="Arial" w:hAnsi="Arial"/>
          <w:b/>
          <w:bCs/>
          <w:color w:val="059669"/>
          <w:sz w:val="19"/>
          <w:szCs w:val="19"/>
        </w:rPr>
        <w:t xml:space="preserve">✓ v6.3: ✓ ОБНОВЛЕНА v6.3: Step 11 три выхода (safety_action_t + mode_next_t + status). Y_t FIRST classification → P6a application → Y_t final. X_exec outcomes.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Step 11 — центральный новый элемент. safety_action влияет на текущий цикл. mode_next_t — только на следующий. X_exec фиксируется после P6a.</w:t>
      </w:r>
    </w:p>
    <w:p>
      <w:pPr>
        <w:spacing w:after="100" w:before="100"/>
        <w:jc w:val="center"/>
      </w:pPr>
      <w:r>
        <w:drawing>
          <wp:inline distT="0" distB="0" distL="0" distR="0">
            <wp:extent cx="5334000" cy="4438650"/>
            <wp:effectExtent t="0" r="0" b="0" l="0"/>
            <wp:docPr id="1" name="schema_4_forecast_path.png" descr="schema_4_forecast_path.png" title="schema_4_forecast_pat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5" w:before="35"/>
        <w:ind w:left="400"/>
      </w:pPr>
      <w:r>
        <w:rPr>
          <w:rFonts w:ascii="Arial" w:cs="Arial" w:eastAsia="Arial" w:hAnsi="Arial"/>
          <w:i/>
          <w:iCs/>
          <w:color w:val="5B6472"/>
          <w:sz w:val="19"/>
          <w:szCs w:val="19"/>
        </w:rPr>
        <w:t xml:space="preserve">Связь с моделью v6.3: разделы 7, 20, 51, 53</w:t>
      </w:r>
    </w:p>
    <w:p>
      <w:pPr>
        <w:spacing w:after="0" w:before="160"/>
      </w:pPr>
    </w:p>
    <w:p>
      <w:pPr>
        <w:spacing w:after="120" w:before="26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5. Feedback &amp; Control Loop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Fast Feedback Loop (≤200ms, Claude-free) + Slow Feedback Loop (async). Silence Debt — diagnostic only.</w:t>
      </w:r>
    </w:p>
    <w:p>
      <w:pPr>
        <w:spacing w:after="100" w:before="100"/>
        <w:jc w:val="center"/>
      </w:pPr>
      <w:r>
        <w:drawing>
          <wp:inline distT="0" distB="0" distL="0" distR="0">
            <wp:extent cx="5334000" cy="2362200"/>
            <wp:effectExtent t="0" r="0" b="0" l="0"/>
            <wp:docPr id="1" name="schema_5_feedback_loop.png" descr="schema_5_feedback_loop.png" title="schema_5_feedback_loo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5" w:before="35"/>
        <w:ind w:left="400"/>
      </w:pPr>
      <w:r>
        <w:rPr>
          <w:rFonts w:ascii="Arial" w:cs="Arial" w:eastAsia="Arial" w:hAnsi="Arial"/>
          <w:i/>
          <w:iCs/>
          <w:color w:val="5B6472"/>
          <w:sz w:val="19"/>
          <w:szCs w:val="19"/>
        </w:rPr>
        <w:t xml:space="preserve">Связь с моделью v6.3: разделы 11, 40, 47, 52 (Fast/Slow + Tx_Feedback)</w:t>
      </w:r>
    </w:p>
    <w:p>
      <w:pPr>
        <w:spacing w:after="0" w:before="160"/>
      </w:pPr>
    </w:p>
    <w:p>
      <w:pPr>
        <w:spacing w:after="120" w:before="26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6. Эпистемическая архитектура AXM/PRI/PAT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AXM = post-scoring guardrail only. PAT = основной сигнал. PRI = confidence modifier. Неизменно с v6.0.</w:t>
      </w:r>
    </w:p>
    <w:p>
      <w:pPr>
        <w:spacing w:after="100" w:before="100"/>
        <w:jc w:val="center"/>
      </w:pPr>
      <w:r>
        <w:drawing>
          <wp:inline distT="0" distB="0" distL="0" distR="0">
            <wp:extent cx="5334000" cy="3571875"/>
            <wp:effectExtent t="0" r="0" b="0" l="0"/>
            <wp:docPr id="1" name="schema_6_epistemic.png" descr="schema_6_epistemic.png" title="schema_6_epistemi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5" w:before="35"/>
        <w:ind w:left="400"/>
      </w:pPr>
      <w:r>
        <w:rPr>
          <w:rFonts w:ascii="Arial" w:cs="Arial" w:eastAsia="Arial" w:hAnsi="Arial"/>
          <w:i/>
          <w:iCs/>
          <w:color w:val="5B6472"/>
          <w:sz w:val="19"/>
          <w:szCs w:val="19"/>
        </w:rPr>
        <w:t xml:space="preserve">Связь с моделью v6.3: разделы 9 (AXM/PRI), 20 (D_t=Ψ), 29 (E_ctrl)</w:t>
      </w:r>
    </w:p>
    <w:p>
      <w:pPr>
        <w:spacing w:after="0" w:before="160"/>
      </w:pPr>
    </w:p>
    <w:p>
      <w:pPr>
        <w:spacing w:after="120" w:before="26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7. Переход V10→V11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Три зоны: Core/Support/Research. Kill Criteria + Transition Gate. Полный список условий в разделе 45 модели.</w:t>
      </w:r>
    </w:p>
    <w:p>
      <w:pPr>
        <w:spacing w:after="100" w:before="100"/>
        <w:jc w:val="center"/>
      </w:pPr>
      <w:r>
        <w:drawing>
          <wp:inline distT="0" distB="0" distL="0" distR="0">
            <wp:extent cx="5334000" cy="4781550"/>
            <wp:effectExtent t="0" r="0" b="0" l="0"/>
            <wp:docPr id="1" name="schema_7_transition.png" descr="schema_7_transition.png" title="schema_7_transi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5" w:before="35"/>
        <w:ind w:left="400"/>
      </w:pPr>
      <w:r>
        <w:rPr>
          <w:rFonts w:ascii="Arial" w:cs="Arial" w:eastAsia="Arial" w:hAnsi="Arial"/>
          <w:i/>
          <w:iCs/>
          <w:color w:val="5B6472"/>
          <w:sz w:val="19"/>
          <w:szCs w:val="19"/>
        </w:rPr>
        <w:t xml:space="preserve">Связь с моделью v6.3: разделы 45 (Spec Freeze), 57 (Open Questions)</w:t>
      </w:r>
    </w:p>
    <w:p>
      <w:r>
        <w:br w:type="page"/>
      </w:r>
    </w:p>
    <w:p>
      <w:pPr>
        <w:spacing w:after="180" w:before="40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ЧАСТЬ II — ПРОБЛЕМНО-АНАЛИТИЧЕСКИЕ СХЕМЫ (A1, A5)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Специализированные схемы для аудита структурных рисков. Актуальны без изменений.</w:t>
      </w:r>
    </w:p>
    <w:p>
      <w:pPr>
        <w:spacing w:after="0" w:before="160"/>
      </w:pPr>
    </w:p>
    <w:p>
      <w:pPr>
        <w:spacing w:after="120" w:before="26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A1. Карта узких мест и рисков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Все узкие места из v6.0-v6.2 закрыты. Runtime Schedule (раздел 40) — новый hot corridor v6.3.</w:t>
      </w:r>
    </w:p>
    <w:p>
      <w:pPr>
        <w:spacing w:after="100" w:before="100"/>
        <w:jc w:val="center"/>
      </w:pPr>
      <w:r>
        <w:drawing>
          <wp:inline distT="0" distB="0" distL="0" distR="0">
            <wp:extent cx="5334000" cy="2324100"/>
            <wp:effectExtent t="0" r="0" b="0" l="0"/>
            <wp:docPr id="1" name="schema_A1_bottlenecks.png" descr="schema_A1_bottlenecks.png" title="schema_A1_bottleneck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60"/>
      </w:pPr>
    </w:p>
    <w:p>
      <w:pPr>
        <w:spacing w:after="120" w:before="26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A5. Риск Scope Drift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Core / Support / Research зоны неизменны. Causal multiplier и NP controller — за границей V10 (V10.1+ gated).</w:t>
      </w:r>
    </w:p>
    <w:p>
      <w:pPr>
        <w:spacing w:after="100" w:before="100"/>
        <w:jc w:val="center"/>
      </w:pPr>
      <w:r>
        <w:drawing>
          <wp:inline distT="0" distB="0" distL="0" distR="0">
            <wp:extent cx="5334000" cy="5334000"/>
            <wp:effectExtent t="0" r="0" b="0" l="0"/>
            <wp:docPr id="1" name="schema_A5_scope_drift.png" descr="schema_A5_scope_drift.png" title="schema_A5_scope_drif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80" w:before="40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ЧАСТЬ III — СХЕМЫ ЗАКРЫТЫХ СТРУКТУРНЫХ ПРОБЛЕМ (B1-B3)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Схемы B1-B3 документируют закрытые проблемы из предыдущих итераций. Актуальны без изменений в v6.3.</w:t>
      </w:r>
    </w:p>
    <w:p>
      <w:pPr>
        <w:spacing w:after="0" w:before="160"/>
      </w:pPr>
    </w:p>
    <w:p>
      <w:pPr>
        <w:spacing w:after="120" w:before="26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B1. Stale Cache Policy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Gate 1 block → Stale Cache Fallback при stale_age ≤ TTL. В v6.3 закреплено в Fallback Eligibility Matrix (раздел 53).</w:t>
      </w:r>
    </w:p>
    <w:p>
      <w:pPr>
        <w:spacing w:after="100" w:before="100"/>
        <w:jc w:val="center"/>
      </w:pPr>
      <w:r>
        <w:drawing>
          <wp:inline distT="0" distB="0" distL="0" distR="0">
            <wp:extent cx="5334000" cy="2505075"/>
            <wp:effectExtent t="0" r="0" b="0" l="0"/>
            <wp:docPr id="1" name="schema_B1_stale_cache.png" descr="schema_B1_stale_cache.png" title="schema_B1_stale_cach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60"/>
      </w:pPr>
    </w:p>
    <w:p>
      <w:pPr>
        <w:spacing w:after="120" w:before="26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B2. Fast/Slow Feedback Split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Fast Feedback ≤200ms + Slow Feedback async. В v6.3 Tx_Feedback = отдельная транзакция (Step 0 следующего цикла). Связь с моделью v6.3: разделы 11, 40, 47, 49, 52 (Fast/Slow + Transaction Boundary + Deferred Queue + Step 0 Selection Rule).</w:t>
      </w:r>
    </w:p>
    <w:p>
      <w:pPr>
        <w:spacing w:after="100" w:before="100"/>
        <w:jc w:val="center"/>
      </w:pPr>
      <w:r>
        <w:drawing>
          <wp:inline distT="0" distB="0" distL="0" distR="0">
            <wp:extent cx="5334000" cy="2676525"/>
            <wp:effectExtent t="0" r="0" b="0" l="0"/>
            <wp:docPr id="1" name="schema_B2_fast_slow_feedback.png" descr="schema_B2_fast_slow_feedback.png" title="schema_B2_fast_slow_feedba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60"/>
      </w:pPr>
    </w:p>
    <w:p>
      <w:pPr>
        <w:spacing w:after="120" w:before="26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B3. State Registry + Second-Order Dampening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atomic_update() + write ordering + second-order loop dampening (μ_t). Неизменно.</w:t>
      </w:r>
    </w:p>
    <w:p>
      <w:pPr>
        <w:spacing w:after="100" w:before="100"/>
        <w:jc w:val="center"/>
      </w:pPr>
      <w:r>
        <w:drawing>
          <wp:inline distT="0" distB="0" distL="0" distR="0">
            <wp:extent cx="5334000" cy="2343150"/>
            <wp:effectExtent t="0" r="0" b="0" l="0"/>
            <wp:docPr id="1" name="schema_B3_state_dampening.png" descr="schema_B3_state_dampening.png" title="schema_B3_state_dampen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80" w:before="40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ЧАСТЬ IV — СХЕМЫ v6.3 SEALED EDITION (C1-C54)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Четыре новые схемы закрывающие implementation semantics v6.3. Центральные для разработчиков Tasks 21/24/29/30. Основаны на разделах 51-57 математической модели: Feasibility Temporal Contract (51), Step 0 Selection Rule (52), Fallback Eligibility Matrix (53), Hysteresis Admissible Region (54), Final Errata Patch (55), Implementation Guide (56), Open Questions Register (57).</w:t>
      </w:r>
    </w:p>
    <w:p>
      <w:pPr>
        <w:spacing w:after="0" w:before="160"/>
      </w:pPr>
    </w:p>
    <w:p>
      <w:pPr>
        <w:spacing w:after="120" w:before="260"/>
      </w:pPr>
      <w:r>
        <w:rPr>
          <w:rFonts w:ascii="Arial" w:cs="Arial" w:eastAsia="Arial" w:hAnsi="Arial"/>
          <w:b/>
          <w:bCs/>
          <w:color w:val="059669"/>
          <w:sz w:val="26"/>
          <w:szCs w:val="26"/>
        </w:rPr>
        <w:t xml:space="preserve">C1. Runtime Update Schedule Contract</w:t>
      </w:r>
    </w:p>
    <w:p>
      <w:pPr>
        <w:pBdr>
          <w:left w:val="single" w:color="5B2C6F" w:sz="12"/>
        </w:pBdr>
        <w:shd w:fill="F5F0FF" w:color="F5F0FF" w:val="solid"/>
        <w:spacing w:after="55" w:before="55"/>
      </w:pPr>
      <w:r>
        <w:rPr>
          <w:rFonts w:ascii="Arial" w:cs="Arial" w:eastAsia="Arial" w:hAnsi="Arial"/>
          <w:b/>
          <w:bCs/>
          <w:color w:val="5B2C6F"/>
          <w:sz w:val="19"/>
          <w:szCs w:val="19"/>
        </w:rPr>
        <w:t xml:space="preserve">⊕ НОВАЯ v6.3: ⊕ НОВАЯ v6.3: Step 0-15 с двумя transaction boundary. Tx_Feedback (Step 0) завершается до Step 2 (snapshot read). Tx_Forecast (Steps 1-14) — atomic commit point. Step 15 — только queue append.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Разделы 40, 47. Ключевой артефакт для реализации Tasks 21/24. Step 14 = commit point, Step 15 вне транзакции.</w:t>
      </w:r>
    </w:p>
    <w:p>
      <w:pPr>
        <w:spacing w:after="100" w:before="100"/>
        <w:jc w:val="center"/>
      </w:pPr>
      <w:r>
        <w:drawing>
          <wp:inline distT="0" distB="0" distL="0" distR="0">
            <wp:extent cx="5334000" cy="3438525"/>
            <wp:effectExtent t="0" r="0" b="0" l="0"/>
            <wp:docPr id="1" name="schema_C1_runtime_schedule.png" descr="schema_C1_runtime_schedule.png" title="schema_C1_runtime_schedu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5" w:before="35"/>
        <w:ind w:left="400"/>
      </w:pPr>
      <w:r>
        <w:rPr>
          <w:rFonts w:ascii="Arial" w:cs="Arial" w:eastAsia="Arial" w:hAnsi="Arial"/>
          <w:i/>
          <w:iCs/>
          <w:color w:val="5B6472"/>
          <w:sz w:val="19"/>
          <w:szCs w:val="19"/>
        </w:rPr>
        <w:t xml:space="preserve">Без понимания этой схемы реализация Tasks 21/24/29/30 невозможна.</w:t>
      </w:r>
    </w:p>
    <w:p>
      <w:pPr>
        <w:spacing w:after="0" w:before="160"/>
      </w:pPr>
    </w:p>
    <w:p>
      <w:pPr>
        <w:spacing w:after="120" w:before="260"/>
      </w:pPr>
      <w:r>
        <w:rPr>
          <w:rFonts w:ascii="Arial" w:cs="Arial" w:eastAsia="Arial" w:hAnsi="Arial"/>
          <w:b/>
          <w:bCs/>
          <w:color w:val="059669"/>
          <w:sz w:val="26"/>
          <w:szCs w:val="26"/>
        </w:rPr>
        <w:t xml:space="preserve">C2. Decision Policy Operator D_t = Ψ</w:t>
      </w:r>
    </w:p>
    <w:p>
      <w:pPr>
        <w:pBdr>
          <w:left w:val="single" w:color="5B2C6F" w:sz="12"/>
        </w:pBdr>
        <w:shd w:fill="F5F0FF" w:color="F5F0FF" w:val="solid"/>
        <w:spacing w:after="55" w:before="55"/>
      </w:pPr>
      <w:r>
        <w:rPr>
          <w:rFonts w:ascii="Arial" w:cs="Arial" w:eastAsia="Arial" w:hAnsi="Arial"/>
          <w:b/>
          <w:bCs/>
          <w:color w:val="5B2C6F"/>
          <w:sz w:val="19"/>
          <w:szCs w:val="19"/>
        </w:rPr>
        <w:t xml:space="preserve">⊕ НОВАЯ v6.3: ⊕ НОВАЯ v6.3: Полный Runtime Precedence Order P1-P11. P6 разделён на P6a (current-cycle safety action, после Y_t) и P6b (next-cycle mode constraint). Uncertainty Escalation на позиции 2.5.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Раздел 48. Критически важно: P6a применяется ПОСЛЕ Step 10 (Y_t), не до D_t. P3 (external override) short-circuits P4-P9.</w:t>
      </w:r>
    </w:p>
    <w:p>
      <w:pPr>
        <w:spacing w:after="100" w:before="100"/>
        <w:jc w:val="center"/>
      </w:pPr>
      <w:r>
        <w:drawing>
          <wp:inline distT="0" distB="0" distL="0" distR="0">
            <wp:extent cx="5334000" cy="3429000"/>
            <wp:effectExtent t="0" r="0" b="0" l="0"/>
            <wp:docPr id="1" name="schema_C2_decision_policy.png" descr="schema_C2_decision_policy.png" title="schema_C2_decision_polic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5" w:before="35"/>
        <w:ind w:left="400"/>
      </w:pPr>
      <w:r>
        <w:rPr>
          <w:rFonts w:ascii="Arial" w:cs="Arial" w:eastAsia="Arial" w:hAnsi="Arial"/>
          <w:i/>
          <w:iCs/>
          <w:color w:val="5B6472"/>
          <w:sz w:val="19"/>
          <w:szCs w:val="19"/>
        </w:rPr>
        <w:t xml:space="preserve">Без понимания этой схемы реализация Tasks 21/24/29/30 невозможна.</w:t>
      </w:r>
    </w:p>
    <w:p>
      <w:pPr>
        <w:spacing w:after="0" w:before="160"/>
      </w:pPr>
    </w:p>
    <w:p>
      <w:pPr>
        <w:spacing w:after="120" w:before="260"/>
      </w:pPr>
      <w:r>
        <w:rPr>
          <w:rFonts w:ascii="Arial" w:cs="Arial" w:eastAsia="Arial" w:hAnsi="Arial"/>
          <w:b/>
          <w:bCs/>
          <w:color w:val="059669"/>
          <w:sz w:val="26"/>
          <w:szCs w:val="26"/>
        </w:rPr>
        <w:t xml:space="preserve">C3. Feasibility Temporal Contract</w:t>
      </w:r>
    </w:p>
    <w:p>
      <w:pPr>
        <w:pBdr>
          <w:left w:val="single" w:color="5B2C6F" w:sz="12"/>
        </w:pBdr>
        <w:shd w:fill="F5F0FF" w:color="F5F0FF" w:val="solid"/>
        <w:spacing w:after="55" w:before="55"/>
      </w:pPr>
      <w:r>
        <w:rPr>
          <w:rFonts w:ascii="Arial" w:cs="Arial" w:eastAsia="Arial" w:hAnsi="Arial"/>
          <w:b/>
          <w:bCs/>
          <w:color w:val="5B2C6F"/>
          <w:sz w:val="19"/>
          <w:szCs w:val="19"/>
        </w:rPr>
        <w:t xml:space="preserve">⊕ НОВАЯ v6.3: ⊕ НОВАЯ v6.3: Закрывает критический конфликт P6 vs Step 11. Step 11 выдаёт три раздельных выхода. Канонический порядок: D_t → Y_t (first) → P6a → Y_t recalc → X_exec.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Раздел 51. При force_neutral: Y_t пересчитывается. При reject/hard_override: Y_t=DIR_INVALID (override, без пересчёта). mode_next_t хранится до Step 3 следующего цикла.</w:t>
      </w:r>
    </w:p>
    <w:p>
      <w:pPr>
        <w:spacing w:after="100" w:before="100"/>
        <w:jc w:val="center"/>
      </w:pPr>
      <w:r>
        <w:drawing>
          <wp:inline distT="0" distB="0" distL="0" distR="0">
            <wp:extent cx="5334000" cy="3067050"/>
            <wp:effectExtent t="0" r="0" b="0" l="0"/>
            <wp:docPr id="1" name="schema_C3_feasibility_temporal.png" descr="schema_C3_feasibility_temporal.png" title="schema_C3_feasibility_tempor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5" w:before="35"/>
        <w:ind w:left="400"/>
      </w:pPr>
      <w:r>
        <w:rPr>
          <w:rFonts w:ascii="Arial" w:cs="Arial" w:eastAsia="Arial" w:hAnsi="Arial"/>
          <w:i/>
          <w:iCs/>
          <w:color w:val="5B6472"/>
          <w:sz w:val="19"/>
          <w:szCs w:val="19"/>
        </w:rPr>
        <w:t xml:space="preserve">Без понимания этой схемы реализация Tasks 21/24/29/30 невозможна.</w:t>
      </w:r>
    </w:p>
    <w:p>
      <w:pPr>
        <w:spacing w:after="0" w:before="160"/>
      </w:pPr>
    </w:p>
    <w:p>
      <w:pPr>
        <w:spacing w:after="120" w:before="260"/>
      </w:pPr>
      <w:r>
        <w:rPr>
          <w:rFonts w:ascii="Arial" w:cs="Arial" w:eastAsia="Arial" w:hAnsi="Arial"/>
          <w:b/>
          <w:bCs/>
          <w:color w:val="059669"/>
          <w:sz w:val="26"/>
          <w:szCs w:val="26"/>
        </w:rPr>
        <w:t xml:space="preserve">C4. Open Questions Register</w:t>
      </w:r>
    </w:p>
    <w:p>
      <w:pPr>
        <w:pBdr>
          <w:left w:val="single" w:color="5B2C6F" w:sz="12"/>
        </w:pBdr>
        <w:shd w:fill="F5F0FF" w:color="F5F0FF" w:val="solid"/>
        <w:spacing w:after="55" w:before="55"/>
      </w:pPr>
      <w:r>
        <w:rPr>
          <w:rFonts w:ascii="Arial" w:cs="Arial" w:eastAsia="Arial" w:hAnsi="Arial"/>
          <w:b/>
          <w:bCs/>
          <w:color w:val="5B2C6F"/>
          <w:sz w:val="19"/>
          <w:szCs w:val="19"/>
        </w:rPr>
        <w:t xml:space="preserve">⊕ НОВАЯ v6.3: ⊕ НОВАЯ v6.3: Карта честного знания. 25 вопросов в 4 классах: Live (7), Implementation (8), V10.1+ (4), Fundamental (6). RT-09..RT-11 как новые официальные Reopen Triggers.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Раздел 57. observe = мониторить без активных действий. monitor = конкретный threshold и trigger. gated = только при gate conditions. reopen candidate = немедленный Architecture Review при проявлении.</w:t>
      </w:r>
    </w:p>
    <w:p>
      <w:pPr>
        <w:spacing w:after="100" w:before="100"/>
        <w:jc w:val="center"/>
      </w:pPr>
      <w:r>
        <w:drawing>
          <wp:inline distT="0" distB="0" distL="0" distR="0">
            <wp:extent cx="5334000" cy="3810000"/>
            <wp:effectExtent t="0" r="0" b="0" l="0"/>
            <wp:docPr id="1" name="schema_C4_open_questions.png" descr="schema_C4_open_questions.png" title="schema_C4_open_questio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5" w:before="35"/>
        <w:ind w:left="400"/>
      </w:pPr>
      <w:r>
        <w:rPr>
          <w:rFonts w:ascii="Arial" w:cs="Arial" w:eastAsia="Arial" w:hAnsi="Arial"/>
          <w:i/>
          <w:iCs/>
          <w:color w:val="5B6472"/>
          <w:sz w:val="19"/>
          <w:szCs w:val="19"/>
        </w:rPr>
        <w:t xml:space="preserve">Без понимания этой схемы реализация Tasks 21/24/29/30 невозможна.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5B6472"/>
          <w:sz w:val="19"/>
          <w:szCs w:val="19"/>
        </w:rPr>
        <w:t xml:space="preserve">Связь с моделью v6.3: разделы 42 (Silence Debt), 45 (RT-01..RT-08), 57 (Open Questions Register). RT-09..RT-11 добавлены в v6.3 финальной редакции.</w:t>
      </w:r>
    </w:p>
    <w:p>
      <w:r>
        <w:br w:type="page"/>
      </w:r>
    </w:p>
    <w:p>
      <w:pPr>
        <w:spacing w:after="200" w:before="1800"/>
        <w:jc w:val="center"/>
      </w:pPr>
      <w:r>
        <w:rPr>
          <w:rFonts w:ascii="Arial" w:cs="Arial" w:eastAsia="Arial" w:hAnsi="Arial"/>
          <w:color w:val="5B6472"/>
          <w:sz w:val="18"/>
          <w:szCs w:val="18"/>
        </w:rPr>
        <w:t xml:space="preserve">CIS V10.0  |  Schematics V4  |  16 схем  |  v6.3 Sealed  |  Апрель 2026</w:t>
      </w:r>
    </w:p>
    <w:p>
      <w:pPr>
        <w:spacing w:before="80"/>
        <w:jc w:val="center"/>
      </w:pPr>
      <w:r>
        <w:rPr>
          <w:rFonts w:ascii="Arial" w:cs="Arial" w:eastAsia="Arial" w:hAnsi="Arial"/>
          <w:i/>
          <w:iCs/>
          <w:color w:val="8E9BAD"/>
          <w:sz w:val="18"/>
          <w:szCs w:val="18"/>
        </w:rPr>
        <w:t xml:space="preserve">Модель v6.3 + документ схем V4 синхронизированы. Готово к Tasks 21/24/29/30.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  <w:p>
      <w:r>
        <w:br w:type="page"/>
      </w:r>
    </w:p>
    <w:p>
      <w:pPr>
        <w:pStyle w:val="Heading1"/>
        <w:spacing w:after="200" w:before="440"/>
      </w:pPr>
      <w:r>
        <w:rPr>
          <w:rFonts w:ascii="Arial" w:hAnsi="Arial" w:cs="Arial"/>
          <w:b/>
          <w:bCs/>
          <w:color w:val="0D1B2A"/>
          <w:sz w:val="32"/>
          <w:szCs w:val="32"/>
        </w:rPr>
        <w:t>C5. Операциональный контур — четыре участника рабочего процесса</w:t>
      </w:r>
    </w:p>
    <w:p>
      <w:pPr>
        <w:spacing w:before="60" w:after="60"/>
      </w:pPr>
      <w:r>
        <w:rPr>
          <w:rFonts w:ascii="Arial" w:hAnsi="Arial" w:cs="Arial"/>
          <w:color w:val="5B6472"/>
          <w:sz w:val="19"/>
          <w:szCs w:val="19"/>
        </w:rPr>
        <w:t xml:space="preserve">НОВАЯ V10.0-r1: Схема показывает не внутреннюю архитектуру системы, а то как система встроена в реальный рабочий процесс. См. ТЗ V10.0-r1 разделы 1.32, 1.33, 1.34.</w:t>
      </w:r>
    </w:p>
    <w:p>
      <w:pPr>
        <w:jc w:val="center"/>
        <w:spacing w:before="120" w:after="120"/>
      </w:pPr>
      <w:r>
        <w:drawing>
          <wp:inline xmlns:wp="http://schemas.openxmlformats.org/drawingml/2006/wordprocessingDrawing">
            <wp:extent cx="7314400" cy="4571500"/>
            <wp:effectExtent l="0" t="0" r="0" b="0"/>
            <wp:docPr id="25" name="schema_C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schema_C5"/>
                    <pic:cNvPicPr/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314400" cy="4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40"/>
      </w:pPr>
      <w:r>
        <w:rPr>
          <w:rFonts w:ascii="Arial" w:hAnsi="Arial" w:cs="Arial"/>
          <w:i/>
          <w:iCs/>
          <w:color w:val="5B6472"/>
          <w:sz w:val="19"/>
          <w:szCs w:val="19"/>
        </w:rPr>
        <w:t xml:space="preserve">Связь с ТЗ V10.0-r1: разделы 1.32 (операциональный сценарий), 1.33 (роль Claude), 1.34 (интеграция GPT). Мат.модель v6.3 не затронута.</w:t>
      </w:r>
    </w:p>
    <w:p>
      <w:pPr>
        <w:jc w:val="center"/>
        <w:spacing w:before="60" w:after="40"/>
      </w:pPr>
      <w:r>
        <w:rPr>
          <w:rFonts w:ascii="Arial" w:hAnsi="Arial" w:cs="Arial"/>
          <w:b/>
          <w:bCs/>
          <w:color w:val="C0392B"/>
          <w:sz w:val="19"/>
          <w:szCs w:val="19"/>
        </w:rPr>
        <w:t xml:space="preserve">Без понимания этой схемы разработчик не будет понимать для кого строится система и как она будет использоваться на практике.</w:t>
      </w:r>
    </w:p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08d3d8b662a1c19bf1d1d1009778c0a6bb5917e.png"/><Relationship Id="rId8" Type="http://schemas.openxmlformats.org/officeDocument/2006/relationships/image" Target="media/32f775f33c6bf00add166d1691a641059c6443a7.png"/><Relationship Id="rId9" Type="http://schemas.openxmlformats.org/officeDocument/2006/relationships/image" Target="media/84f0a8829b82e359b41f9ce362e4bc1e57487014.png"/><Relationship Id="rId10" Type="http://schemas.openxmlformats.org/officeDocument/2006/relationships/image" Target="media/2da30094dffc9782fb996ae79ba7b2059931d287.png"/><Relationship Id="rId11" Type="http://schemas.openxmlformats.org/officeDocument/2006/relationships/image" Target="media/5591eef5a11fadeea0acf940f512b213ad272028.png"/><Relationship Id="rId12" Type="http://schemas.openxmlformats.org/officeDocument/2006/relationships/image" Target="media/083ab595b72d3e197acd08e829d7eb96348c0535.png"/><Relationship Id="rId13" Type="http://schemas.openxmlformats.org/officeDocument/2006/relationships/image" Target="media/d0fd465a2eb70b0d806c7a4ce296cf118f4a6fc0.png"/><Relationship Id="rId14" Type="http://schemas.openxmlformats.org/officeDocument/2006/relationships/image" Target="media/9c2c6bde934f9721aec18194cd58a3af581994db.png"/><Relationship Id="rId15" Type="http://schemas.openxmlformats.org/officeDocument/2006/relationships/image" Target="media/b0a2842d9f0847723dd85293f5f6be8b3d15d952.png"/><Relationship Id="rId16" Type="http://schemas.openxmlformats.org/officeDocument/2006/relationships/image" Target="media/5345223183abfd7cf008fa6ee6cf7e0332123ffd.png"/><Relationship Id="rId17" Type="http://schemas.openxmlformats.org/officeDocument/2006/relationships/image" Target="media/03900d38daa13515c50da82161050d867e9d8db5.png"/><Relationship Id="rId18" Type="http://schemas.openxmlformats.org/officeDocument/2006/relationships/image" Target="media/ed4817131b5c83e701a7f4732394c2fbd3a5c39e.png"/><Relationship Id="rId19" Type="http://schemas.openxmlformats.org/officeDocument/2006/relationships/image" Target="media/25289a0f8e7abe411a9983c6c86932fbc830ae8d.png"/><Relationship Id="rId20" Type="http://schemas.openxmlformats.org/officeDocument/2006/relationships/image" Target="media/474b64e1ca4d0657ea88bd8f99e7bce95995b58c.png"/><Relationship Id="rId21" Type="http://schemas.openxmlformats.org/officeDocument/2006/relationships/image" Target="media/f97d4f55c251b3b281fd1fb5b934595d90f01257.png"/><Relationship Id="rId22" Type="http://schemas.openxmlformats.org/officeDocument/2006/relationships/image" Target="media/f99b147ca25571bf9b46b06e62103415a19dc19e.png"/><Relationship Id="rId23" Type="http://schemas.openxmlformats.org/officeDocument/2006/relationships/fontTable" Target="fontTable.xml"/><Relationship Id="rId24" Type="http://schemas.openxmlformats.org/officeDocument/2006/relationships/image" Target="media/schema_C5_operational_contour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2026-04-15T03:18:35.067Z</dcterms:created>
  <dcterms:modified xsi:type="dcterms:W3CDTF">2026-04-15T03:18:35.068Z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