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Analýza HFE génu a genetickej predispozície na hemochromatózu</w:t>
      </w:r>
    </w:p>
    <w:p>
      <w:pPr>
        <w:jc w:val="center"/>
      </w:pPr>
      <w:r>
        <w:t>Generovaný report</w:t>
      </w:r>
    </w:p>
    <w:p>
      <w:r>
        <w:br w:type="page"/>
      </w:r>
    </w:p>
    <w:p>
      <w:pPr>
        <w:pStyle w:val="Heading1"/>
      </w:pPr>
      <w:r>
        <w:t>Obsah</w:t>
      </w:r>
    </w:p>
    <w:p>
      <w:r>
        <w:t>1. Základné informácie o datasete</w:t>
      </w:r>
    </w:p>
    <w:p>
      <w:r>
        <w:t>2. Hardy-Weinbergova rovnováha</w:t>
      </w:r>
    </w:p>
    <w:p>
      <w:r>
        <w:t>3. Percentuálne zastúpenie genotypov a prenášači</w:t>
      </w:r>
    </w:p>
    <w:p>
      <w:r>
        <w:t>4. Súvislosť HFE mutácií s pečeňovými diagnózami</w:t>
      </w:r>
    </w:p>
    <w:p>
      <w:r>
        <w:t>5. Grafy rozdelenia genotypov a ich vzťah k atribútom</w:t>
      </w:r>
    </w:p>
    <w:p>
      <w:r>
        <w:t>6. Analýza diagnóz podľa MKCH-10</w:t>
      </w:r>
    </w:p>
    <w:p>
      <w:r>
        <w:br w:type="page"/>
      </w:r>
    </w:p>
    <w:p>
      <w:pPr>
        <w:pStyle w:val="Heading1"/>
      </w:pPr>
      <w:r>
        <w:t>1. Základné informácie o datasete</w:t>
      </w:r>
    </w:p>
    <w:p>
      <w:r>
        <w:t>Počet riadkov: 1662</w:t>
      </w:r>
    </w:p>
    <w:p>
      <w:r>
        <w:t>Počet stĺpcov: 9</w:t>
      </w:r>
    </w:p>
    <w:p>
      <w:r>
        <w:t>Stĺpce:</w:t>
      </w:r>
    </w:p>
    <w:p>
      <w:pPr>
        <w:pStyle w:val="ListBullet"/>
      </w:pPr>
      <w:r>
        <w:t>- id</w:t>
      </w:r>
    </w:p>
    <w:p>
      <w:pPr>
        <w:pStyle w:val="ListBullet"/>
      </w:pPr>
      <w:r>
        <w:t>- pohavie</w:t>
      </w:r>
    </w:p>
    <w:p>
      <w:pPr>
        <w:pStyle w:val="ListBullet"/>
      </w:pPr>
      <w:r>
        <w:t>- vek</w:t>
      </w:r>
    </w:p>
    <w:p>
      <w:pPr>
        <w:pStyle w:val="ListBullet"/>
      </w:pPr>
      <w:r>
        <w:t>- diagnoza MKCH-10</w:t>
      </w:r>
    </w:p>
    <w:p>
      <w:pPr>
        <w:pStyle w:val="ListBullet"/>
      </w:pPr>
      <w:r>
        <w:t>- HFE C187G (H63D)</w:t>
        <w:br/>
        <w:t>[HFE]</w:t>
      </w:r>
    </w:p>
    <w:p>
      <w:pPr>
        <w:pStyle w:val="ListBullet"/>
      </w:pPr>
      <w:r>
        <w:t>- HFE A193T (S65C)</w:t>
        <w:br/>
        <w:t>[HFE]</w:t>
      </w:r>
    </w:p>
    <w:p>
      <w:pPr>
        <w:pStyle w:val="ListBullet"/>
      </w:pPr>
      <w:r>
        <w:t>- HFE G845A (C282Y)</w:t>
        <w:br/>
        <w:t>[HFE]</w:t>
      </w:r>
    </w:p>
    <w:p>
      <w:pPr>
        <w:pStyle w:val="ListBullet"/>
      </w:pPr>
      <w:r>
        <w:t>- validovany_vysledok</w:t>
      </w:r>
    </w:p>
    <w:p>
      <w:pPr>
        <w:pStyle w:val="ListBullet"/>
      </w:pPr>
      <w:r>
        <w:t>- prijem_vzorky</w:t>
      </w:r>
    </w:p>
    <w:p>
      <w:r>
        <w:br w:type="page"/>
      </w:r>
    </w:p>
    <w:p>
      <w:pPr>
        <w:pStyle w:val="Heading1"/>
      </w:pPr>
      <w:r>
        <w:t>2. Hardy-Weinbergova rovnováha</w:t>
      </w:r>
    </w:p>
    <w:p>
      <w:pPr>
        <w:pStyle w:val="Heading2"/>
      </w:pPr>
      <w:r>
        <w:t>Výsledky Hardy-Weinbergovho testu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Mutácia</w:t>
            </w:r>
          </w:p>
        </w:tc>
        <w:tc>
          <w:tcPr>
            <w:tcW w:type="dxa" w:w="864"/>
          </w:tcPr>
          <w:p>
            <w:r>
              <w:t>Pozorované wt/wt (normal)</w:t>
            </w:r>
          </w:p>
        </w:tc>
        <w:tc>
          <w:tcPr>
            <w:tcW w:type="dxa" w:w="864"/>
          </w:tcPr>
          <w:p>
            <w:r>
              <w:t>Pozorované wt/mut (heterozygot)</w:t>
            </w:r>
          </w:p>
        </w:tc>
        <w:tc>
          <w:tcPr>
            <w:tcW w:type="dxa" w:w="864"/>
          </w:tcPr>
          <w:p>
            <w:r>
              <w:t>Pozorované mut/mut (mutant)</w:t>
            </w:r>
          </w:p>
        </w:tc>
        <w:tc>
          <w:tcPr>
            <w:tcW w:type="dxa" w:w="864"/>
          </w:tcPr>
          <w:p>
            <w:r>
              <w:t>Očakávané wt/wt (normal)</w:t>
            </w:r>
          </w:p>
        </w:tc>
        <w:tc>
          <w:tcPr>
            <w:tcW w:type="dxa" w:w="864"/>
          </w:tcPr>
          <w:p>
            <w:r>
              <w:t>Očakávané wt/mut (heterozygot)</w:t>
            </w:r>
          </w:p>
        </w:tc>
        <w:tc>
          <w:tcPr>
            <w:tcW w:type="dxa" w:w="864"/>
          </w:tcPr>
          <w:p>
            <w:r>
              <w:t>Očakávané mut/mut (mutant)</w:t>
            </w:r>
          </w:p>
        </w:tc>
        <w:tc>
          <w:tcPr>
            <w:tcW w:type="dxa" w:w="864"/>
          </w:tcPr>
          <w:p>
            <w:r>
              <w:t>Chi²</w:t>
            </w:r>
          </w:p>
        </w:tc>
        <w:tc>
          <w:tcPr>
            <w:tcW w:type="dxa" w:w="864"/>
          </w:tcPr>
          <w:p>
            <w:r>
              <w:t>p-hodnota</w:t>
            </w:r>
          </w:p>
        </w:tc>
        <w:tc>
          <w:tcPr>
            <w:tcW w:type="dxa" w:w="864"/>
          </w:tcPr>
          <w:p>
            <w:r>
              <w:t>Výsledok</w:t>
            </w:r>
          </w:p>
        </w:tc>
      </w:tr>
      <w:tr>
        <w:tc>
          <w:tcPr>
            <w:tcW w:type="dxa" w:w="864"/>
          </w:tcPr>
          <w:p>
            <w:r>
              <w:t>H63D</w:t>
            </w:r>
          </w:p>
        </w:tc>
        <w:tc>
          <w:tcPr>
            <w:tcW w:type="dxa" w:w="864"/>
          </w:tcPr>
          <w:p>
            <w:r>
              <w:t>1209</w:t>
            </w:r>
          </w:p>
        </w:tc>
        <w:tc>
          <w:tcPr>
            <w:tcW w:type="dxa" w:w="864"/>
          </w:tcPr>
          <w:p>
            <w:r>
              <w:t>421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1236.18</w:t>
            </w:r>
          </w:p>
        </w:tc>
        <w:tc>
          <w:tcPr>
            <w:tcW w:type="dxa" w:w="864"/>
          </w:tcPr>
          <w:p>
            <w:r>
              <w:t>366.63</w:t>
            </w:r>
          </w:p>
        </w:tc>
        <w:tc>
          <w:tcPr>
            <w:tcW w:type="dxa" w:w="864"/>
          </w:tcPr>
          <w:p>
            <w:r>
              <w:t>27.18</w:t>
            </w:r>
          </w:p>
        </w:tc>
        <w:tc>
          <w:tcPr>
            <w:tcW w:type="dxa" w:w="864"/>
          </w:tcPr>
          <w:p>
            <w:r>
              <w:t>35.8444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Odchýlka</w:t>
            </w:r>
          </w:p>
        </w:tc>
      </w:tr>
      <w:tr>
        <w:tc>
          <w:tcPr>
            <w:tcW w:type="dxa" w:w="864"/>
          </w:tcPr>
          <w:p>
            <w:r>
              <w:t>S65C</w:t>
            </w:r>
          </w:p>
        </w:tc>
        <w:tc>
          <w:tcPr>
            <w:tcW w:type="dxa" w:w="864"/>
          </w:tcPr>
          <w:p>
            <w:r>
              <w:t>1613</w:t>
            </w:r>
          </w:p>
        </w:tc>
        <w:tc>
          <w:tcPr>
            <w:tcW w:type="dxa" w:w="864"/>
          </w:tcPr>
          <w:p>
            <w:r>
              <w:t>49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1613.36</w:t>
            </w:r>
          </w:p>
        </w:tc>
        <w:tc>
          <w:tcPr>
            <w:tcW w:type="dxa" w:w="864"/>
          </w:tcPr>
          <w:p>
            <w:r>
              <w:t>48.28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0.372</w:t>
            </w:r>
          </w:p>
        </w:tc>
        <w:tc>
          <w:tcPr>
            <w:tcW w:type="dxa" w:w="864"/>
          </w:tcPr>
          <w:p>
            <w:r>
              <w:t>0.5419</w:t>
            </w:r>
          </w:p>
        </w:tc>
        <w:tc>
          <w:tcPr>
            <w:tcW w:type="dxa" w:w="864"/>
          </w:tcPr>
          <w:p>
            <w:r>
              <w:t>Súlad</w:t>
            </w:r>
          </w:p>
        </w:tc>
      </w:tr>
      <w:tr>
        <w:tc>
          <w:tcPr>
            <w:tcW w:type="dxa" w:w="864"/>
          </w:tcPr>
          <w:p>
            <w:r>
              <w:t>C282Y</w:t>
            </w:r>
          </w:p>
        </w:tc>
        <w:tc>
          <w:tcPr>
            <w:tcW w:type="dxa" w:w="864"/>
          </w:tcPr>
          <w:p>
            <w:r>
              <w:t>1512</w:t>
            </w:r>
          </w:p>
        </w:tc>
        <w:tc>
          <w:tcPr>
            <w:tcW w:type="dxa" w:w="864"/>
          </w:tcPr>
          <w:p>
            <w:r>
              <w:t>134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1514.73</w:t>
            </w:r>
          </w:p>
        </w:tc>
        <w:tc>
          <w:tcPr>
            <w:tcW w:type="dxa" w:w="864"/>
          </w:tcPr>
          <w:p>
            <w:r>
              <w:t>128.55</w:t>
            </w:r>
          </w:p>
        </w:tc>
        <w:tc>
          <w:tcPr>
            <w:tcW w:type="dxa" w:w="864"/>
          </w:tcPr>
          <w:p>
            <w:r>
              <w:t>2.73</w:t>
            </w:r>
          </w:p>
        </w:tc>
        <w:tc>
          <w:tcPr>
            <w:tcW w:type="dxa" w:w="864"/>
          </w:tcPr>
          <w:p>
            <w:r>
              <w:t>2.9636</w:t>
            </w:r>
          </w:p>
        </w:tc>
        <w:tc>
          <w:tcPr>
            <w:tcW w:type="dxa" w:w="864"/>
          </w:tcPr>
          <w:p>
            <w:r>
              <w:t>0.0852</w:t>
            </w:r>
          </w:p>
        </w:tc>
        <w:tc>
          <w:tcPr>
            <w:tcW w:type="dxa" w:w="864"/>
          </w:tcPr>
          <w:p>
            <w:r>
              <w:t>Súlad</w:t>
            </w:r>
          </w:p>
        </w:tc>
      </w:tr>
    </w:tbl>
    <w:p/>
    <w:p>
      <w:r>
        <w:br w:type="page"/>
      </w:r>
    </w:p>
    <w:p>
      <w:pPr>
        <w:pStyle w:val="Heading1"/>
      </w:pPr>
      <w:r>
        <w:t>3. Percentá genotypov a prenášači</w:t>
      </w:r>
    </w:p>
    <w:p>
      <w:pPr>
        <w:pStyle w:val="Heading2"/>
      </w:pPr>
      <w:r>
        <w:t>Percentá genotypov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Mutácia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  <w:tc>
          <w:tcPr>
            <w:tcW w:type="dxa" w:w="2160"/>
          </w:tcPr>
          <w:p>
            <w:r>
              <w:t>Počet pacientov</w:t>
            </w:r>
          </w:p>
        </w:tc>
        <w:tc>
          <w:tcPr>
            <w:tcW w:type="dxa" w:w="2160"/>
          </w:tcPr>
          <w:p>
            <w:r>
              <w:t>Percento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1512</w:t>
            </w:r>
          </w:p>
        </w:tc>
        <w:tc>
          <w:tcPr>
            <w:tcW w:type="dxa" w:w="2160"/>
          </w:tcPr>
          <w:p>
            <w:r>
              <w:t>91.86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8.14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1209</w:t>
            </w:r>
          </w:p>
        </w:tc>
        <w:tc>
          <w:tcPr>
            <w:tcW w:type="dxa" w:w="2160"/>
          </w:tcPr>
          <w:p>
            <w:r>
              <w:t>74.17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421</w:t>
            </w:r>
          </w:p>
        </w:tc>
        <w:tc>
          <w:tcPr>
            <w:tcW w:type="dxa" w:w="2160"/>
          </w:tcPr>
          <w:p>
            <w:r>
              <w:t>25.83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1613</w:t>
            </w:r>
          </w:p>
        </w:tc>
        <w:tc>
          <w:tcPr>
            <w:tcW w:type="dxa" w:w="2160"/>
          </w:tcPr>
          <w:p>
            <w:r>
              <w:t>97.05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2.95</w:t>
            </w:r>
          </w:p>
        </w:tc>
      </w:tr>
    </w:tbl>
    <w:p/>
    <w:p>
      <w:r>
        <w:t>Prenášači: 571 pacientov (34.36%)</w:t>
        <w:br/>
        <w:t>Genetická predispozícia na HH: 23 pacientov (1.38%)</w:t>
        <w:br/>
      </w:r>
    </w:p>
    <w:p>
      <w:r>
        <w:br w:type="page"/>
      </w:r>
    </w:p>
    <w:p>
      <w:pPr>
        <w:pStyle w:val="Heading1"/>
      </w:pPr>
      <w:r>
        <w:t>4. Súvislosť HFE mutácií s pečeňovými diagnózami</w:t>
      </w:r>
    </w:p>
    <w:p>
      <w:pPr>
        <w:pStyle w:val="Heading2"/>
      </w:pPr>
      <w:r>
        <w:t>Výsledky súvislostí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Mutácia</w:t>
            </w:r>
          </w:p>
        </w:tc>
        <w:tc>
          <w:tcPr>
            <w:tcW w:type="dxa" w:w="2160"/>
          </w:tcPr>
          <w:p>
            <w:r>
              <w:t>Chi²</w:t>
            </w:r>
          </w:p>
        </w:tc>
        <w:tc>
          <w:tcPr>
            <w:tcW w:type="dxa" w:w="2160"/>
          </w:tcPr>
          <w:p>
            <w:r>
              <w:t>p-hodnota</w:t>
            </w:r>
          </w:p>
        </w:tc>
        <w:tc>
          <w:tcPr>
            <w:tcW w:type="dxa" w:w="2160"/>
          </w:tcPr>
          <w:p>
            <w:r>
              <w:t>Významnosť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1.0068</w:t>
            </w:r>
          </w:p>
        </w:tc>
        <w:tc>
          <w:tcPr>
            <w:tcW w:type="dxa" w:w="2160"/>
          </w:tcPr>
          <w:p>
            <w:r>
              <w:t>0.3157</w:t>
            </w:r>
          </w:p>
        </w:tc>
        <w:tc>
          <w:tcPr>
            <w:tcW w:type="dxa" w:w="2160"/>
          </w:tcPr>
          <w:p>
            <w:r>
              <w:t>Nevýznamné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0.2466</w:t>
            </w:r>
          </w:p>
        </w:tc>
        <w:tc>
          <w:tcPr>
            <w:tcW w:type="dxa" w:w="2160"/>
          </w:tcPr>
          <w:p>
            <w:r>
              <w:t>0.6195</w:t>
            </w:r>
          </w:p>
        </w:tc>
        <w:tc>
          <w:tcPr>
            <w:tcW w:type="dxa" w:w="2160"/>
          </w:tcPr>
          <w:p>
            <w:r>
              <w:t>Nevýznamné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2.7831</w:t>
            </w:r>
          </w:p>
        </w:tc>
        <w:tc>
          <w:tcPr>
            <w:tcW w:type="dxa" w:w="2160"/>
          </w:tcPr>
          <w:p>
            <w:r>
              <w:t>0.0953</w:t>
            </w:r>
          </w:p>
        </w:tc>
        <w:tc>
          <w:tcPr>
            <w:tcW w:type="dxa" w:w="2160"/>
          </w:tcPr>
          <w:p>
            <w:r>
              <w:t>Nevýznamné</w:t>
            </w:r>
          </w:p>
        </w:tc>
      </w:tr>
    </w:tbl>
    <w:p/>
    <w:p>
      <w:pPr>
        <w:pStyle w:val="Heading2"/>
      </w:pPr>
      <w:r>
        <w:t>Graf súvislosti pre mutáciu H63D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H63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Graf súvislosti pre mutáciu S65C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S65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Graf súvislosti pre mutáciu C282Y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C282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>5. Grafy rozdelenia genotypov</w:t>
      </w:r>
    </w:p>
    <w:p>
      <w:pPr>
        <w:pStyle w:val="Heading2"/>
      </w:pPr>
      <w:r>
        <w:t>Rozdelenie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H63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Vek vs genotyp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H63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Pohlavie vs genotyp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H63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Pecen vs genotyp – H63D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H63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Rozdelenie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S65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Vek vs genotyp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S65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Pohlavie vs genotyp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S65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Pecen vs genotyp – S65C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S65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Rozdelenie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C282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Vek vs genotyp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C282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Pohlavie vs genotyp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C282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Pecen vs genotyp – C282Y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C282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1"/>
      </w:pPr>
      <w:r>
        <w:t>6. Analýza diagnóz podľa MKCH-10</w:t>
      </w:r>
    </w:p>
    <w:p>
      <w:pPr>
        <w:pStyle w:val="Heading2"/>
      </w:pPr>
      <w:r>
        <w:t>Vývoj diagnóz v čase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rok</w:t>
            </w:r>
          </w:p>
        </w:tc>
        <w:tc>
          <w:tcPr>
            <w:tcW w:type="dxa" w:w="2880"/>
          </w:tcPr>
          <w:p>
            <w:r>
              <w:t>diag_skupina</w:t>
            </w:r>
          </w:p>
        </w:tc>
        <w:tc>
          <w:tcPr>
            <w:tcW w:type="dxa" w:w="2880"/>
          </w:tcPr>
          <w:p>
            <w:r>
              <w:t>pocet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Iné zdravotné faktory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Iné zdravotné faktory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Graf vývoja skupín diagnóz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yvoj_skupin_diagnoz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Zastarané kódy diagnóz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Pôvodný kód</w:t>
            </w:r>
          </w:p>
        </w:tc>
        <w:tc>
          <w:tcPr>
            <w:tcW w:type="dxa" w:w="2160"/>
          </w:tcPr>
          <w:p>
            <w:r>
              <w:t>Počet pacientov</w:t>
            </w:r>
          </w:p>
        </w:tc>
        <w:tc>
          <w:tcPr>
            <w:tcW w:type="dxa" w:w="2160"/>
          </w:tcPr>
          <w:p>
            <w:r>
              <w:t>Nový odporúčaný kód</w:t>
            </w:r>
          </w:p>
        </w:tc>
        <w:tc>
          <w:tcPr>
            <w:tcW w:type="dxa" w:w="2160"/>
          </w:tcPr>
          <w:p>
            <w:r>
              <w:t>Popis</w:t>
            </w:r>
          </w:p>
        </w:tc>
      </w:tr>
      <w:tr>
        <w:tc>
          <w:tcPr>
            <w:tcW w:type="dxa" w:w="2160"/>
          </w:tcPr>
          <w:p>
            <w:r>
              <w:t>K76.0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E66.9 (Obezita, nešpecifikovaná)</w:t>
            </w:r>
          </w:p>
        </w:tc>
        <w:tc>
          <w:tcPr>
            <w:tcW w:type="dxa" w:w="2160"/>
          </w:tcPr>
          <w:p>
            <w:r>
              <w:t>Tuková degenerácia pečene.</w:t>
            </w:r>
          </w:p>
        </w:tc>
      </w:tr>
      <w:tr>
        <w:tc>
          <w:tcPr>
            <w:tcW w:type="dxa" w:w="2160"/>
          </w:tcPr>
          <w:p>
            <w:r>
              <w:t>K75.9</w:t>
            </w:r>
          </w:p>
        </w:tc>
        <w:tc>
          <w:tcPr>
            <w:tcW w:type="dxa" w:w="2160"/>
          </w:tcPr>
          <w:p>
            <w:r>
              <w:t>236</w:t>
            </w:r>
          </w:p>
        </w:tc>
        <w:tc>
          <w:tcPr>
            <w:tcW w:type="dxa" w:w="2160"/>
          </w:tcPr>
          <w:p>
            <w:r>
              <w:t>K75.8 (Iné zápalové ochorenia pečene)</w:t>
            </w:r>
          </w:p>
        </w:tc>
        <w:tc>
          <w:tcPr>
            <w:tcW w:type="dxa" w:w="2160"/>
          </w:tcPr>
          <w:p>
            <w:r>
              <w:t>Nešpecifikovaná zápalová choroba pečene.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