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E934" w14:textId="4385B0CA" w:rsidR="008951F6" w:rsidRDefault="00C461D0">
      <w:pPr>
        <w:spacing w:after="60"/>
      </w:pPr>
      <w:r>
        <w:rPr>
          <w:rFonts w:ascii="Arial" w:hAnsi="Arial" w:cs="Arial"/>
          <w:color w:val="888888"/>
          <w:sz w:val="16"/>
          <w:szCs w:val="16"/>
        </w:rPr>
        <w:t xml:space="preserve">PARA USO INTERNO · CONFIDENCIAL · DOCUMENTO </w:t>
      </w:r>
      <w:r w:rsidR="00E6000A">
        <w:rPr>
          <w:rFonts w:ascii="Arial" w:hAnsi="Arial" w:cs="Arial"/>
          <w:color w:val="888888"/>
          <w:sz w:val="16"/>
          <w:szCs w:val="16"/>
        </w:rPr>
        <w:t>PRESS RELEASE</w:t>
      </w:r>
    </w:p>
    <w:p w14:paraId="654B46BB" w14:textId="77777777" w:rsidR="008951F6" w:rsidRDefault="00C461D0">
      <w:pPr>
        <w:spacing w:after="120"/>
      </w:pPr>
      <w:r>
        <w:rPr>
          <w:rFonts w:ascii="Arial" w:hAnsi="Arial" w:cs="Arial"/>
          <w:color w:val="555555"/>
          <w:sz w:val="18"/>
          <w:szCs w:val="18"/>
        </w:rPr>
        <w:t xml:space="preserve">Versión 1.0 — Iniciativa Transformación </w:t>
      </w:r>
      <w:proofErr w:type="spellStart"/>
      <w:r>
        <w:rPr>
          <w:rFonts w:ascii="Arial" w:hAnsi="Arial" w:cs="Arial"/>
          <w:color w:val="555555"/>
          <w:sz w:val="18"/>
          <w:szCs w:val="18"/>
        </w:rPr>
        <w:t>Contact</w:t>
      </w:r>
      <w:proofErr w:type="spellEnd"/>
      <w:r>
        <w:rPr>
          <w:rFonts w:ascii="Arial" w:hAnsi="Arial" w:cs="Arial"/>
          <w:color w:val="555555"/>
          <w:sz w:val="18"/>
          <w:szCs w:val="18"/>
        </w:rPr>
        <w:t xml:space="preserve"> Center</w:t>
      </w:r>
    </w:p>
    <w:p w14:paraId="13E561C8" w14:textId="164F3651" w:rsidR="008951F6" w:rsidRDefault="00C461D0">
      <w:pPr>
        <w:spacing w:after="160"/>
      </w:pPr>
      <w:r>
        <w:rPr>
          <w:rFonts w:ascii="Arial" w:hAnsi="Arial" w:cs="Arial"/>
          <w:b/>
          <w:sz w:val="38"/>
          <w:szCs w:val="38"/>
        </w:rPr>
        <w:t xml:space="preserve">Línea Directa reemplaza 30 años de telefonía </w:t>
      </w:r>
      <w:proofErr w:type="spellStart"/>
      <w:r>
        <w:rPr>
          <w:rFonts w:ascii="Arial" w:hAnsi="Arial" w:cs="Arial"/>
          <w:b/>
          <w:sz w:val="38"/>
          <w:szCs w:val="38"/>
        </w:rPr>
        <w:t>on</w:t>
      </w:r>
      <w:proofErr w:type="spellEnd"/>
      <w:r>
        <w:rPr>
          <w:rFonts w:ascii="Arial" w:hAnsi="Arial" w:cs="Arial"/>
          <w:b/>
          <w:sz w:val="38"/>
          <w:szCs w:val="38"/>
        </w:rPr>
        <w:t xml:space="preserve">-premise por una plataforma en la nube que </w:t>
      </w:r>
      <w:r w:rsidR="00657198">
        <w:rPr>
          <w:rFonts w:ascii="Arial" w:hAnsi="Arial" w:cs="Arial"/>
          <w:b/>
          <w:sz w:val="38"/>
          <w:szCs w:val="38"/>
        </w:rPr>
        <w:t xml:space="preserve">permite </w:t>
      </w:r>
      <w:r w:rsidR="007509C4">
        <w:rPr>
          <w:rFonts w:ascii="Arial" w:hAnsi="Arial" w:cs="Arial"/>
          <w:b/>
          <w:sz w:val="38"/>
          <w:szCs w:val="38"/>
        </w:rPr>
        <w:t xml:space="preserve">escuchar y entender las necesidades del </w:t>
      </w:r>
      <w:r>
        <w:rPr>
          <w:rFonts w:ascii="Arial" w:hAnsi="Arial" w:cs="Arial"/>
          <w:b/>
          <w:sz w:val="38"/>
          <w:szCs w:val="38"/>
        </w:rPr>
        <w:t>cliente</w:t>
      </w:r>
      <w:r w:rsidR="007509C4">
        <w:rPr>
          <w:rFonts w:ascii="Arial" w:hAnsi="Arial" w:cs="Arial"/>
          <w:b/>
          <w:sz w:val="38"/>
          <w:szCs w:val="38"/>
        </w:rPr>
        <w:t xml:space="preserve">, tal y como </w:t>
      </w:r>
      <w:r w:rsidR="002751BA">
        <w:rPr>
          <w:rFonts w:ascii="Arial" w:hAnsi="Arial" w:cs="Arial"/>
          <w:b/>
          <w:sz w:val="38"/>
          <w:szCs w:val="38"/>
        </w:rPr>
        <w:t>las expresa</w:t>
      </w:r>
    </w:p>
    <w:p w14:paraId="61E4F412" w14:textId="592C2CC6" w:rsidR="008951F6" w:rsidRDefault="00E6000A">
      <w:pPr>
        <w:spacing w:after="200"/>
      </w:pPr>
      <w:r>
        <w:rPr>
          <w:i/>
          <w:color w:val="555555"/>
          <w:sz w:val="24"/>
          <w:szCs w:val="24"/>
        </w:rPr>
        <w:t>Cerca de 15</w:t>
      </w:r>
      <w:r w:rsidR="00C461D0">
        <w:rPr>
          <w:i/>
          <w:color w:val="555555"/>
          <w:sz w:val="24"/>
          <w:szCs w:val="24"/>
        </w:rPr>
        <w:t xml:space="preserve"> millones</w:t>
      </w:r>
      <w:r w:rsidR="006333B2">
        <w:rPr>
          <w:i/>
          <w:color w:val="555555"/>
          <w:sz w:val="24"/>
          <w:szCs w:val="24"/>
        </w:rPr>
        <w:t>*</w:t>
      </w:r>
      <w:r w:rsidR="00C461D0">
        <w:rPr>
          <w:i/>
          <w:color w:val="555555"/>
          <w:sz w:val="24"/>
          <w:szCs w:val="24"/>
        </w:rPr>
        <w:t xml:space="preserve"> de llamadas al año merecen una plataforma a la altura. La migración a Genesys Cloud no es un cambio de herramienta: es la transformación del canal que fundó la compañía en el canal que merece el cliente de hoy.</w:t>
      </w:r>
    </w:p>
    <w:p w14:paraId="27743C25" w14:textId="77777777" w:rsidR="008951F6" w:rsidRDefault="008951F6">
      <w:pPr>
        <w:pBdr>
          <w:bottom w:val="single" w:sz="1" w:space="1" w:color="D3D1C7"/>
        </w:pBdr>
        <w:spacing w:after="240"/>
      </w:pPr>
    </w:p>
    <w:p w14:paraId="3134169B" w14:textId="77777777" w:rsidR="008951F6" w:rsidRDefault="00C461D0">
      <w:pPr>
        <w:spacing w:after="200"/>
      </w:pPr>
      <w:r>
        <w:rPr>
          <w:rFonts w:ascii="Arial" w:hAnsi="Arial" w:cs="Arial"/>
          <w:color w:val="888888"/>
          <w:sz w:val="18"/>
          <w:szCs w:val="18"/>
        </w:rPr>
        <w:t>Madrid, 2026 — Para distribución interna inmediata</w:t>
      </w:r>
    </w:p>
    <w:p w14:paraId="365416DE" w14:textId="482823C3" w:rsidR="008951F6" w:rsidRDefault="00C461D0">
      <w:pPr>
        <w:spacing w:after="180"/>
        <w:jc w:val="both"/>
      </w:pPr>
      <w:r>
        <w:t>Línea Directa nació por teléfono. Hace 30 años, cuando ningún competidor apostaba por vender seguros sin red de oficinas, esta compañía construyó su modelo entero sobre el canal telefónico. Ese legado es una ventaja competitiva que sigue siendo real: hoy, con tres veces más interacciones digitales que telefónicas, el canal de voz continúa gestionando más de 10 millones de llamadas entrantes al año</w:t>
      </w:r>
      <w:r w:rsidR="009A7853">
        <w:t>**</w:t>
      </w:r>
      <w:r>
        <w:t>. Ningún otro canal resuelve, con la inmediatez y la profundidad que necesita el cliente en un momento crítico, lo que resuelve una llamada bien atendida.</w:t>
      </w:r>
    </w:p>
    <w:p w14:paraId="52FE2554" w14:textId="13042892" w:rsidR="008951F6" w:rsidRDefault="00C461D0">
      <w:pPr>
        <w:spacing w:after="200"/>
        <w:jc w:val="both"/>
      </w:pPr>
      <w:r>
        <w:t xml:space="preserve">Pero la plataforma que gestiona esas llamadas tiene 30 años de historia acumulada. </w:t>
      </w:r>
      <w:r w:rsidR="00E6000A">
        <w:t>Un</w:t>
      </w:r>
      <w:r>
        <w:t xml:space="preserve"> ecosistema que ha servido bien durante décadas, pero que hoy impone límites que la ambición de la compañía ya no puede aceptar: </w:t>
      </w:r>
      <w:proofErr w:type="spellStart"/>
      <w:r>
        <w:t>IVRs</w:t>
      </w:r>
      <w:proofErr w:type="spellEnd"/>
      <w:r>
        <w:t xml:space="preserve"> no conversacionales que obligan al cliente a navegar árboles diseñados para la operación, no para él; falta de integración en tiempo real con el CRM; opacidad sobre lo que ocurre en los </w:t>
      </w:r>
      <w:proofErr w:type="spellStart"/>
      <w:r>
        <w:t>contact</w:t>
      </w:r>
      <w:proofErr w:type="spellEnd"/>
      <w:r>
        <w:t xml:space="preserve"> centers externos que atienden en nombre de Línea Directa; e incapacidad para desplegar agentes conversacionales de inteligencia artificial sobre la capa de voz.</w:t>
      </w:r>
    </w:p>
    <w:tbl>
      <w:tblPr>
        <w:tblW w:w="9026" w:type="dxa"/>
        <w:tblCellMar>
          <w:left w:w="10" w:type="dxa"/>
          <w:right w:w="10" w:type="dxa"/>
        </w:tblCellMar>
        <w:tblLook w:val="0000" w:firstRow="0" w:lastRow="0" w:firstColumn="0" w:lastColumn="0" w:noHBand="0" w:noVBand="0"/>
      </w:tblPr>
      <w:tblGrid>
        <w:gridCol w:w="9026"/>
      </w:tblGrid>
      <w:tr w:rsidR="008951F6" w14:paraId="57996A0B" w14:textId="77777777">
        <w:tc>
          <w:tcPr>
            <w:tcW w:w="9026" w:type="dxa"/>
            <w:tcBorders>
              <w:left w:val="single" w:sz="18" w:space="0" w:color="B4B2A9"/>
            </w:tcBorders>
            <w:shd w:val="clear" w:color="auto" w:fill="F8F7F4"/>
            <w:tcMar>
              <w:top w:w="160" w:type="dxa"/>
              <w:left w:w="280" w:type="dxa"/>
              <w:bottom w:w="120" w:type="dxa"/>
              <w:right w:w="200" w:type="dxa"/>
            </w:tcMar>
          </w:tcPr>
          <w:p w14:paraId="7AEAE9D1" w14:textId="77777777" w:rsidR="008951F6" w:rsidRDefault="00C461D0">
            <w:pPr>
              <w:spacing w:after="60"/>
              <w:jc w:val="both"/>
            </w:pPr>
            <w:r>
              <w:rPr>
                <w:i/>
                <w:color w:val="555555"/>
                <w:sz w:val="21"/>
                <w:szCs w:val="21"/>
              </w:rPr>
              <w:t>“Llevamos años sabiendo que la experiencia en el IVR era el primer punto de fricción con el cliente. El cliente llama porque quiere resolver algo, y el primer mensaje que recibe es una lista de opciones que no refleja lo que él quiere decir. Genesys Cloud nos permite hacer exactamente lo contrario: escuchar primero, enrutar después.”</w:t>
            </w:r>
          </w:p>
          <w:p w14:paraId="2119031E" w14:textId="77777777" w:rsidR="008951F6" w:rsidRDefault="00C461D0">
            <w:pPr>
              <w:spacing w:before="60"/>
            </w:pPr>
            <w:r>
              <w:rPr>
                <w:rFonts w:ascii="Arial" w:hAnsi="Arial" w:cs="Arial"/>
                <w:color w:val="888888"/>
                <w:sz w:val="17"/>
                <w:szCs w:val="17"/>
              </w:rPr>
              <w:t>— Directora de Transformación, Línea Directa Aseguradora</w:t>
            </w:r>
          </w:p>
        </w:tc>
      </w:tr>
    </w:tbl>
    <w:p w14:paraId="33860129" w14:textId="77777777" w:rsidR="008951F6" w:rsidRDefault="008951F6">
      <w:pPr>
        <w:spacing w:before="200"/>
      </w:pPr>
    </w:p>
    <w:p w14:paraId="36E76194" w14:textId="452625F6" w:rsidR="008951F6" w:rsidRDefault="00C461D0">
      <w:pPr>
        <w:spacing w:after="200"/>
        <w:jc w:val="both"/>
      </w:pPr>
      <w:r>
        <w:t xml:space="preserve">El proyecto migra toda la operación telefónica de Línea Directa a Genesys Cloud —la plataforma </w:t>
      </w:r>
      <w:proofErr w:type="spellStart"/>
      <w:r>
        <w:t>C</w:t>
      </w:r>
      <w:r w:rsidR="002751BA">
        <w:t>X</w:t>
      </w:r>
      <w:r>
        <w:t>aaS</w:t>
      </w:r>
      <w:proofErr w:type="spellEnd"/>
      <w:r>
        <w:t xml:space="preserve"> líder del mercado— en un proceso por bloques de servicio que abarca desde febrero de 2026 hasta febrero de 2027, con cerca de 2.000 operadores afectados en 13 servicios distintos: Comercial, Cartera, Siniestros y Prestaciones, Calidad, CAU, Quejas y Reclamaciones, </w:t>
      </w:r>
      <w:r w:rsidR="002751BA">
        <w:t>entre</w:t>
      </w:r>
      <w:r>
        <w:t xml:space="preserve"> otros. La migración no interrumpe la operación: cada servicio tiene su propio ciclo de diseño, configuración, integración, pruebas, gestión del cambio y paso a producción, garantizando impacto cero en el cliente durante la transición.</w:t>
      </w:r>
    </w:p>
    <w:p w14:paraId="659742E1" w14:textId="7D861801" w:rsidR="008951F6" w:rsidRDefault="00C461D0">
      <w:pPr>
        <w:spacing w:after="180"/>
        <w:jc w:val="both"/>
      </w:pPr>
      <w:r>
        <w:t xml:space="preserve">Las ganancias van mucho más allá de la modernización tecnológica. La nueva plataforma permite integrar pregunta abierta conversacional en el IVR —el cliente describe en sus propias palabras por qué llama, y el sistema </w:t>
      </w:r>
      <w:r w:rsidR="004D3588">
        <w:t>puede conversar para aclarar la necesidad</w:t>
      </w:r>
      <w:r w:rsidR="00E111DF">
        <w:t xml:space="preserve"> y enruta </w:t>
      </w:r>
      <w:r>
        <w:t xml:space="preserve">con </w:t>
      </w:r>
      <w:r w:rsidR="00E111DF">
        <w:t xml:space="preserve">todo el </w:t>
      </w:r>
      <w:r>
        <w:t xml:space="preserve">contexto—, conecta la llamada en tiempo real con el CRM para que el agente vea la transcripción mientras habla, incorpora datos de los </w:t>
      </w:r>
      <w:proofErr w:type="spellStart"/>
      <w:r>
        <w:t>contact</w:t>
      </w:r>
      <w:proofErr w:type="spellEnd"/>
      <w:r>
        <w:t xml:space="preserve"> centers externos que hasta ahora eran una caja negra, y prepara la infraestructura para desplegar agentes de voz con IA que </w:t>
      </w:r>
      <w:r>
        <w:lastRenderedPageBreak/>
        <w:t>gestionen de forma autónoma los casos más simples. El agente humano se libera para lo que más importa: las conversaciones que requieren criterio, empatía y conocimiento del cliente.</w:t>
      </w:r>
    </w:p>
    <w:tbl>
      <w:tblPr>
        <w:tblW w:w="9026" w:type="dxa"/>
        <w:tblCellMar>
          <w:left w:w="10" w:type="dxa"/>
          <w:right w:w="10" w:type="dxa"/>
        </w:tblCellMar>
        <w:tblLook w:val="0000" w:firstRow="0" w:lastRow="0" w:firstColumn="0" w:lastColumn="0" w:noHBand="0" w:noVBand="0"/>
      </w:tblPr>
      <w:tblGrid>
        <w:gridCol w:w="9026"/>
      </w:tblGrid>
      <w:tr w:rsidR="008951F6" w14:paraId="03A0761E" w14:textId="77777777">
        <w:tc>
          <w:tcPr>
            <w:tcW w:w="9026" w:type="dxa"/>
            <w:tcBorders>
              <w:left w:val="single" w:sz="18" w:space="0" w:color="B4B2A9"/>
            </w:tcBorders>
            <w:shd w:val="clear" w:color="auto" w:fill="F8F7F4"/>
            <w:tcMar>
              <w:top w:w="160" w:type="dxa"/>
              <w:left w:w="280" w:type="dxa"/>
              <w:bottom w:w="120" w:type="dxa"/>
              <w:right w:w="200" w:type="dxa"/>
            </w:tcMar>
          </w:tcPr>
          <w:p w14:paraId="76EDA2F4" w14:textId="77777777" w:rsidR="008951F6" w:rsidRDefault="00C461D0">
            <w:pPr>
              <w:spacing w:after="60"/>
              <w:jc w:val="both"/>
            </w:pPr>
            <w:r>
              <w:rPr>
                <w:i/>
                <w:color w:val="555555"/>
                <w:sz w:val="21"/>
                <w:szCs w:val="21"/>
              </w:rPr>
              <w:t>“Con Genesys Cloud dejamos de tener una plataforma de telefonía y pasamos a tener una plataforma de experiencia de cliente. La diferencia no es semántica: una gestiona llamadas, la otra gestiona conversaciones. Y una conversación tiene contexto, tiene historia, tiene intención. Eso es lo que ahora somos capaces de capturar.”</w:t>
            </w:r>
          </w:p>
          <w:p w14:paraId="15915617" w14:textId="77777777" w:rsidR="008951F6" w:rsidRDefault="00C461D0">
            <w:pPr>
              <w:spacing w:before="60"/>
            </w:pPr>
            <w:r>
              <w:rPr>
                <w:rFonts w:ascii="Arial" w:hAnsi="Arial" w:cs="Arial"/>
                <w:color w:val="888888"/>
                <w:sz w:val="17"/>
                <w:szCs w:val="17"/>
              </w:rPr>
              <w:t>— Director de Tecnología, Línea Directa Aseguradora</w:t>
            </w:r>
          </w:p>
        </w:tc>
      </w:tr>
    </w:tbl>
    <w:p w14:paraId="3DE0147F" w14:textId="77777777" w:rsidR="008951F6" w:rsidRDefault="008951F6">
      <w:pPr>
        <w:spacing w:before="200"/>
      </w:pPr>
    </w:p>
    <w:p w14:paraId="587F1D6F" w14:textId="45F3CC3E" w:rsidR="008951F6" w:rsidRDefault="00C461D0">
      <w:pPr>
        <w:spacing w:after="240"/>
        <w:jc w:val="both"/>
      </w:pPr>
      <w:r>
        <w:t xml:space="preserve">La </w:t>
      </w:r>
      <w:r w:rsidR="006C7F65">
        <w:t xml:space="preserve">nueva plataforma </w:t>
      </w:r>
      <w:r>
        <w:t xml:space="preserve">es 100% </w:t>
      </w:r>
      <w:proofErr w:type="spellStart"/>
      <w:r>
        <w:t>cloud</w:t>
      </w:r>
      <w:proofErr w:type="spellEnd"/>
      <w:r>
        <w:t>, desplegada sobre AWS en las regiones de Irlanda y Fráncfort con alta disponibilidad y redundancia por diseño. Los agentes solo necesitan un navegador —no hay hardware que instalar, no hay teléfonos físicos—, lo que simplifica radicalmente la operación y permite incorporar flexibilidad. La retirada de los equipos Avaya, los 2.000 teléfonos físicos y los servidores del CPD actual es parte explícita del alcance del proyecto.</w:t>
      </w:r>
    </w:p>
    <w:p w14:paraId="1F99083D" w14:textId="77777777" w:rsidR="008951F6" w:rsidRDefault="008951F6">
      <w:pPr>
        <w:pBdr>
          <w:bottom w:val="single" w:sz="1" w:space="1" w:color="D3D1C7"/>
        </w:pBdr>
        <w:spacing w:after="240"/>
      </w:pPr>
    </w:p>
    <w:p w14:paraId="4CDDC8A0" w14:textId="77777777" w:rsidR="008951F6" w:rsidRDefault="00C461D0">
      <w:pPr>
        <w:spacing w:after="200"/>
      </w:pPr>
      <w:r>
        <w:rPr>
          <w:rFonts w:ascii="Arial" w:hAnsi="Arial" w:cs="Arial"/>
          <w:color w:val="888888"/>
          <w:sz w:val="16"/>
          <w:szCs w:val="16"/>
        </w:rPr>
        <w:t>PREGUNTAS Y RESPUESTAS INTERNAS</w:t>
      </w:r>
    </w:p>
    <w:p w14:paraId="7366925D" w14:textId="5B6DAB78" w:rsidR="008951F6" w:rsidRDefault="00C461D0">
      <w:pPr>
        <w:spacing w:before="200" w:after="80"/>
      </w:pPr>
      <w:r>
        <w:rPr>
          <w:rFonts w:ascii="Arial" w:hAnsi="Arial" w:cs="Arial"/>
          <w:b/>
        </w:rPr>
        <w:t xml:space="preserve">¿Por qué Genesys Cloud y no otra plataforma </w:t>
      </w:r>
      <w:proofErr w:type="spellStart"/>
      <w:r>
        <w:rPr>
          <w:rFonts w:ascii="Arial" w:hAnsi="Arial" w:cs="Arial"/>
          <w:b/>
        </w:rPr>
        <w:t>C</w:t>
      </w:r>
      <w:r w:rsidR="001D3285">
        <w:rPr>
          <w:rFonts w:ascii="Arial" w:hAnsi="Arial" w:cs="Arial"/>
          <w:b/>
        </w:rPr>
        <w:t>X</w:t>
      </w:r>
      <w:r>
        <w:rPr>
          <w:rFonts w:ascii="Arial" w:hAnsi="Arial" w:cs="Arial"/>
          <w:b/>
        </w:rPr>
        <w:t>aaS</w:t>
      </w:r>
      <w:proofErr w:type="spellEnd"/>
      <w:r>
        <w:rPr>
          <w:rFonts w:ascii="Arial" w:hAnsi="Arial" w:cs="Arial"/>
          <w:b/>
        </w:rPr>
        <w:t>?</w:t>
      </w:r>
    </w:p>
    <w:p w14:paraId="4109FDBC" w14:textId="77777777" w:rsidR="008951F6" w:rsidRDefault="00C461D0">
      <w:pPr>
        <w:spacing w:after="60"/>
        <w:jc w:val="both"/>
      </w:pPr>
      <w:r>
        <w:rPr>
          <w:color w:val="555555"/>
          <w:sz w:val="21"/>
          <w:szCs w:val="21"/>
        </w:rPr>
        <w:t xml:space="preserve">Genesys Cloud es la plataforma elegida por su madurez en el mercado asegurador europeo, su ecosistema nativo de integraciones (CRM, IA, WFM), y su arquitectura abierta basada en </w:t>
      </w:r>
      <w:proofErr w:type="spellStart"/>
      <w:r>
        <w:rPr>
          <w:color w:val="555555"/>
          <w:sz w:val="21"/>
          <w:szCs w:val="21"/>
        </w:rPr>
        <w:t>APIs</w:t>
      </w:r>
      <w:proofErr w:type="spellEnd"/>
      <w:r>
        <w:rPr>
          <w:color w:val="555555"/>
          <w:sz w:val="21"/>
          <w:szCs w:val="21"/>
        </w:rPr>
        <w:t xml:space="preserve"> que permite una evolución continua sin dependencia de grandes proyectos de customización. La propuesta del integrador seleccionado, </w:t>
      </w:r>
      <w:proofErr w:type="spellStart"/>
      <w:r>
        <w:rPr>
          <w:color w:val="555555"/>
          <w:sz w:val="21"/>
          <w:szCs w:val="21"/>
        </w:rPr>
        <w:t>Minsait</w:t>
      </w:r>
      <w:proofErr w:type="spellEnd"/>
      <w:r>
        <w:rPr>
          <w:color w:val="555555"/>
          <w:sz w:val="21"/>
          <w:szCs w:val="21"/>
        </w:rPr>
        <w:t xml:space="preserve">, cubre tanto la migración tecnológica como la gestión del servicio durante cinco años, con recursos dedicados </w:t>
      </w:r>
      <w:proofErr w:type="spellStart"/>
      <w:r>
        <w:rPr>
          <w:color w:val="555555"/>
          <w:sz w:val="21"/>
          <w:szCs w:val="21"/>
        </w:rPr>
        <w:t>in-situ</w:t>
      </w:r>
      <w:proofErr w:type="spellEnd"/>
      <w:r>
        <w:rPr>
          <w:color w:val="555555"/>
          <w:sz w:val="21"/>
          <w:szCs w:val="21"/>
        </w:rPr>
        <w:t xml:space="preserve"> y remoto.</w:t>
      </w:r>
    </w:p>
    <w:p w14:paraId="3757EA31" w14:textId="77777777" w:rsidR="008951F6" w:rsidRDefault="00C461D0">
      <w:pPr>
        <w:spacing w:before="200" w:after="80"/>
      </w:pPr>
      <w:r>
        <w:rPr>
          <w:rFonts w:ascii="Arial" w:hAnsi="Arial" w:cs="Arial"/>
          <w:b/>
        </w:rPr>
        <w:t>¿Qué ocurre con los contactos de los CC externos que hoy no vemos?</w:t>
      </w:r>
    </w:p>
    <w:p w14:paraId="42C02BEC" w14:textId="77777777" w:rsidR="008951F6" w:rsidRDefault="00C461D0">
      <w:pPr>
        <w:spacing w:after="60"/>
        <w:jc w:val="both"/>
      </w:pPr>
      <w:r>
        <w:rPr>
          <w:color w:val="555555"/>
          <w:sz w:val="21"/>
          <w:szCs w:val="21"/>
        </w:rPr>
        <w:t xml:space="preserve">Uno de los beneficios más relevantes de la migración es precisamente este. Los </w:t>
      </w:r>
      <w:proofErr w:type="spellStart"/>
      <w:r>
        <w:rPr>
          <w:color w:val="555555"/>
          <w:sz w:val="21"/>
          <w:szCs w:val="21"/>
        </w:rPr>
        <w:t>contact</w:t>
      </w:r>
      <w:proofErr w:type="spellEnd"/>
      <w:r>
        <w:rPr>
          <w:color w:val="555555"/>
          <w:sz w:val="21"/>
          <w:szCs w:val="21"/>
        </w:rPr>
        <w:t xml:space="preserve"> centers externos que atienden llamadas en nombre de Línea Directa operan hoy de forma opaca: no tenemos datos de esas interacciones, no podemos analizarlas ni mejorarlas. Con Genesys Cloud, todas las interacciones —propias y gestionadas por terceros— fluyen por la misma plataforma, con los mismos datos, con las mismas capacidades de análisis. Por primera vez tendremos visibilidad completa sobre el 100% de la experiencia telefónica del cliente.</w:t>
      </w:r>
    </w:p>
    <w:p w14:paraId="6161D992" w14:textId="77777777" w:rsidR="008951F6" w:rsidRDefault="00C461D0">
      <w:pPr>
        <w:spacing w:before="200" w:after="80"/>
      </w:pPr>
      <w:r>
        <w:rPr>
          <w:rFonts w:ascii="Arial" w:hAnsi="Arial" w:cs="Arial"/>
          <w:b/>
        </w:rPr>
        <w:t>¿</w:t>
      </w:r>
      <w:proofErr w:type="spellStart"/>
      <w:r>
        <w:rPr>
          <w:rFonts w:ascii="Arial" w:hAnsi="Arial" w:cs="Arial"/>
          <w:b/>
        </w:rPr>
        <w:t>Cuando</w:t>
      </w:r>
      <w:proofErr w:type="spellEnd"/>
      <w:r>
        <w:rPr>
          <w:rFonts w:ascii="Arial" w:hAnsi="Arial" w:cs="Arial"/>
          <w:b/>
        </w:rPr>
        <w:t xml:space="preserve"> entra la IA conversacional? ¿Está incluida en este proyecto?</w:t>
      </w:r>
    </w:p>
    <w:p w14:paraId="01E491E8" w14:textId="77777777" w:rsidR="008951F6" w:rsidRDefault="00C461D0">
      <w:pPr>
        <w:spacing w:after="60"/>
        <w:jc w:val="both"/>
      </w:pPr>
      <w:r>
        <w:rPr>
          <w:color w:val="555555"/>
          <w:sz w:val="21"/>
          <w:szCs w:val="21"/>
        </w:rPr>
        <w:t>La migración prepara la infraestructura para los agentes de voz con IA, pero la implementación de capacidades conversacionales avanzadas se realiza en coordinación con el proyecto de IA en voz y chat, que corre en paralelo. Este proyecto entrega el canal; el proyecto de IA entrega la inteligencia sobre ese canal. Ambos están diseñados para ejecutarse de forma coordinada y secuenciada.</w:t>
      </w:r>
    </w:p>
    <w:p w14:paraId="38BE18EB" w14:textId="77777777" w:rsidR="008951F6" w:rsidRDefault="00C461D0">
      <w:pPr>
        <w:spacing w:before="200" w:after="80"/>
      </w:pPr>
      <w:r>
        <w:rPr>
          <w:rFonts w:ascii="Arial" w:hAnsi="Arial" w:cs="Arial"/>
          <w:b/>
        </w:rPr>
        <w:t xml:space="preserve">¿Qué impacto tiene en los agentes del </w:t>
      </w:r>
      <w:proofErr w:type="spellStart"/>
      <w:r>
        <w:rPr>
          <w:rFonts w:ascii="Arial" w:hAnsi="Arial" w:cs="Arial"/>
          <w:b/>
        </w:rPr>
        <w:t>contact</w:t>
      </w:r>
      <w:proofErr w:type="spellEnd"/>
      <w:r>
        <w:rPr>
          <w:rFonts w:ascii="Arial" w:hAnsi="Arial" w:cs="Arial"/>
          <w:b/>
        </w:rPr>
        <w:t xml:space="preserve"> center?</w:t>
      </w:r>
    </w:p>
    <w:p w14:paraId="6FCECC95" w14:textId="77777777" w:rsidR="008951F6" w:rsidRDefault="00C461D0">
      <w:pPr>
        <w:spacing w:after="60"/>
        <w:jc w:val="both"/>
      </w:pPr>
      <w:r>
        <w:rPr>
          <w:color w:val="555555"/>
          <w:sz w:val="21"/>
          <w:szCs w:val="21"/>
        </w:rPr>
        <w:t xml:space="preserve">El cambio es significativo pero bien gestionado. Los agentes dejan de usar teléfonos físicos y pasan a operar con </w:t>
      </w:r>
      <w:proofErr w:type="spellStart"/>
      <w:r>
        <w:rPr>
          <w:color w:val="555555"/>
          <w:sz w:val="21"/>
          <w:szCs w:val="21"/>
        </w:rPr>
        <w:t>WebRTC</w:t>
      </w:r>
      <w:proofErr w:type="spellEnd"/>
      <w:r>
        <w:rPr>
          <w:color w:val="555555"/>
          <w:sz w:val="21"/>
          <w:szCs w:val="21"/>
        </w:rPr>
        <w:t xml:space="preserve"> desde el navegador, lo que simplifica su herramienta de trabajo. La consola CTI del agente se integra con el CRM y muestra contexto del cliente en tiempo real. Cada servicio tiene su propio plan de gestión del cambio y formación antes del paso a producción, con soporte </w:t>
      </w:r>
      <w:proofErr w:type="spellStart"/>
      <w:r>
        <w:rPr>
          <w:color w:val="555555"/>
          <w:sz w:val="21"/>
          <w:szCs w:val="21"/>
        </w:rPr>
        <w:t>post-producción</w:t>
      </w:r>
      <w:proofErr w:type="spellEnd"/>
      <w:r>
        <w:rPr>
          <w:color w:val="555555"/>
          <w:sz w:val="21"/>
          <w:szCs w:val="21"/>
        </w:rPr>
        <w:t xml:space="preserve"> dedicado.</w:t>
      </w:r>
    </w:p>
    <w:p w14:paraId="6B8B5F78" w14:textId="77777777" w:rsidR="008951F6" w:rsidRDefault="00C461D0">
      <w:pPr>
        <w:spacing w:before="200" w:after="80"/>
      </w:pPr>
      <w:r>
        <w:rPr>
          <w:rFonts w:ascii="Arial" w:hAnsi="Arial" w:cs="Arial"/>
          <w:b/>
        </w:rPr>
        <w:t>¿Cuál es el riesgo operacional de la migración? ¿Se puede cortar el servicio?</w:t>
      </w:r>
    </w:p>
    <w:p w14:paraId="5CDA7BCC" w14:textId="77777777" w:rsidR="008951F6" w:rsidRDefault="00C461D0">
      <w:pPr>
        <w:spacing w:after="60"/>
        <w:jc w:val="both"/>
      </w:pPr>
      <w:r>
        <w:rPr>
          <w:color w:val="555555"/>
          <w:sz w:val="21"/>
          <w:szCs w:val="21"/>
        </w:rPr>
        <w:t>El diseño del proyecto tiene como principio rector el impacto cero en el servicio durante la migración. La estrategia de migración por bloques de servicio garantiza que en ningún momento se interrumpe la atención al cliente: cada servicio migra de forma independiente, con un período de pruebas y validación antes del paso a producción, y con la plataforma antigua operativa como respaldo hasta que el nuevo servicio está estabilizado.</w:t>
      </w:r>
    </w:p>
    <w:p w14:paraId="44CC2F07" w14:textId="77777777" w:rsidR="008951F6" w:rsidRDefault="00C461D0">
      <w:pPr>
        <w:spacing w:before="200" w:after="80"/>
      </w:pPr>
      <w:r>
        <w:rPr>
          <w:rFonts w:ascii="Arial" w:hAnsi="Arial" w:cs="Arial"/>
          <w:b/>
        </w:rPr>
        <w:lastRenderedPageBreak/>
        <w:t xml:space="preserve">¿Qué pasa con </w:t>
      </w:r>
      <w:proofErr w:type="spellStart"/>
      <w:r>
        <w:rPr>
          <w:rFonts w:ascii="Arial" w:hAnsi="Arial" w:cs="Arial"/>
          <w:b/>
        </w:rPr>
        <w:t>Calabrio</w:t>
      </w:r>
      <w:proofErr w:type="spellEnd"/>
      <w:r>
        <w:rPr>
          <w:rFonts w:ascii="Arial" w:hAnsi="Arial" w:cs="Arial"/>
          <w:b/>
        </w:rPr>
        <w:t xml:space="preserve"> y el WFM?</w:t>
      </w:r>
    </w:p>
    <w:p w14:paraId="68350B4A" w14:textId="77777777" w:rsidR="008951F6" w:rsidRDefault="00C461D0">
      <w:pPr>
        <w:spacing w:after="60"/>
        <w:jc w:val="both"/>
      </w:pPr>
      <w:r>
        <w:rPr>
          <w:color w:val="555555"/>
          <w:sz w:val="21"/>
          <w:szCs w:val="21"/>
        </w:rPr>
        <w:t>Con la actualización a Genesys Cloud CX3, las funcionalidades de WFM (</w:t>
      </w:r>
      <w:proofErr w:type="spellStart"/>
      <w:r>
        <w:rPr>
          <w:color w:val="555555"/>
          <w:sz w:val="21"/>
          <w:szCs w:val="21"/>
        </w:rPr>
        <w:t>Workforce</w:t>
      </w:r>
      <w:proofErr w:type="spellEnd"/>
      <w:r>
        <w:rPr>
          <w:color w:val="555555"/>
          <w:sz w:val="21"/>
          <w:szCs w:val="21"/>
        </w:rPr>
        <w:t xml:space="preserve"> Management) quedan cubiertas de forma nativa por la propia plataforma, eliminando la necesidad de mantener la integración con </w:t>
      </w:r>
      <w:proofErr w:type="spellStart"/>
      <w:r>
        <w:rPr>
          <w:color w:val="555555"/>
          <w:sz w:val="21"/>
          <w:szCs w:val="21"/>
        </w:rPr>
        <w:t>Calabrio</w:t>
      </w:r>
      <w:proofErr w:type="spellEnd"/>
      <w:r>
        <w:rPr>
          <w:color w:val="555555"/>
          <w:sz w:val="21"/>
          <w:szCs w:val="21"/>
        </w:rPr>
        <w:t>. Es uno de los beneficios de simplificación del ecosistema: menos herramientas, menos integraciones que mantener, menos puntos de fallo.</w:t>
      </w:r>
    </w:p>
    <w:p w14:paraId="55FEF75D" w14:textId="77777777" w:rsidR="008951F6" w:rsidRDefault="008951F6">
      <w:pPr>
        <w:pBdr>
          <w:bottom w:val="single" w:sz="1" w:space="1" w:color="D3D1C7"/>
        </w:pBdr>
        <w:spacing w:before="200" w:after="240"/>
      </w:pPr>
    </w:p>
    <w:p w14:paraId="316490B0" w14:textId="77777777" w:rsidR="008951F6" w:rsidRDefault="00C461D0">
      <w:pPr>
        <w:spacing w:after="120"/>
      </w:pPr>
      <w:r>
        <w:rPr>
          <w:rFonts w:ascii="Arial" w:hAnsi="Arial" w:cs="Arial"/>
          <w:color w:val="888888"/>
          <w:sz w:val="16"/>
          <w:szCs w:val="16"/>
        </w:rPr>
        <w:t>OBJETIVOS CUANTITATIVOS DEL PROYECTO</w:t>
      </w:r>
    </w:p>
    <w:p w14:paraId="7A0F8AF9" w14:textId="77777777" w:rsidR="008951F6" w:rsidRDefault="00C461D0">
      <w:pPr>
        <w:spacing w:after="160"/>
      </w:pPr>
      <w:r>
        <w:rPr>
          <w:rFonts w:ascii="Arial" w:hAnsi="Arial" w:cs="Arial"/>
          <w:b/>
          <w:sz w:val="30"/>
          <w:szCs w:val="30"/>
        </w:rPr>
        <w:t>El éxito se mide en servicios migrados, operadores formados y llamadas mejor resueltas</w:t>
      </w:r>
    </w:p>
    <w:p w14:paraId="415366E5" w14:textId="77777777" w:rsidR="008951F6" w:rsidRDefault="00C461D0">
      <w:pPr>
        <w:spacing w:after="280"/>
        <w:jc w:val="both"/>
      </w:pPr>
      <w:r>
        <w:rPr>
          <w:i/>
          <w:color w:val="555555"/>
        </w:rPr>
        <w:t>Los siguientes indicadores definen el horizonte de éxito del proyecto en su ejecución 2026–2027.</w:t>
      </w:r>
    </w:p>
    <w:p w14:paraId="379F4385" w14:textId="77777777" w:rsidR="008951F6" w:rsidRDefault="00C461D0">
      <w:pPr>
        <w:spacing w:after="100"/>
      </w:pPr>
      <w:r>
        <w:rPr>
          <w:rFonts w:ascii="Arial" w:hAnsi="Arial" w:cs="Arial"/>
          <w:b/>
          <w:color w:val="BE2A2A"/>
          <w:sz w:val="16"/>
          <w:szCs w:val="16"/>
        </w:rPr>
        <w:t>MIGRACIÓN TECNOLÓGICA</w:t>
      </w:r>
    </w:p>
    <w:tbl>
      <w:tblPr>
        <w:tblW w:w="9026" w:type="dxa"/>
        <w:tblCellMar>
          <w:left w:w="10" w:type="dxa"/>
          <w:right w:w="10" w:type="dxa"/>
        </w:tblCellMar>
        <w:tblLook w:val="0000" w:firstRow="0" w:lastRow="0" w:firstColumn="0" w:lastColumn="0" w:noHBand="0" w:noVBand="0"/>
      </w:tblPr>
      <w:tblGrid>
        <w:gridCol w:w="4169"/>
        <w:gridCol w:w="1624"/>
        <w:gridCol w:w="1624"/>
        <w:gridCol w:w="1609"/>
      </w:tblGrid>
      <w:tr w:rsidR="008951F6" w14:paraId="1B48A235" w14:textId="77777777">
        <w:trPr>
          <w:tblHeader/>
        </w:trPr>
        <w:tc>
          <w:tcPr>
            <w:tcW w:w="3800" w:type="dxa"/>
            <w:shd w:val="clear" w:color="auto" w:fill="BE2A2A"/>
            <w:tcMar>
              <w:top w:w="80" w:type="dxa"/>
              <w:left w:w="140" w:type="dxa"/>
              <w:bottom w:w="80" w:type="dxa"/>
              <w:right w:w="100" w:type="dxa"/>
            </w:tcMar>
          </w:tcPr>
          <w:p w14:paraId="73EE2778" w14:textId="77777777" w:rsidR="008951F6" w:rsidRDefault="00C461D0">
            <w:pPr>
              <w:spacing w:before="80" w:after="80"/>
            </w:pPr>
            <w:r>
              <w:rPr>
                <w:rFonts w:ascii="Arial" w:hAnsi="Arial" w:cs="Arial"/>
                <w:b/>
                <w:color w:val="FFFFFF"/>
                <w:sz w:val="18"/>
                <w:szCs w:val="18"/>
              </w:rPr>
              <w:t>Indicador</w:t>
            </w:r>
          </w:p>
        </w:tc>
        <w:tc>
          <w:tcPr>
            <w:tcW w:w="1480" w:type="dxa"/>
            <w:shd w:val="clear" w:color="auto" w:fill="BE2A2A"/>
            <w:tcMar>
              <w:top w:w="80" w:type="dxa"/>
              <w:left w:w="140" w:type="dxa"/>
              <w:bottom w:w="80" w:type="dxa"/>
              <w:right w:w="100" w:type="dxa"/>
            </w:tcMar>
          </w:tcPr>
          <w:p w14:paraId="126D24DA" w14:textId="77777777" w:rsidR="008951F6" w:rsidRDefault="00C461D0">
            <w:pPr>
              <w:spacing w:before="80" w:after="80"/>
              <w:jc w:val="center"/>
            </w:pPr>
            <w:r>
              <w:rPr>
                <w:rFonts w:ascii="Arial" w:hAnsi="Arial" w:cs="Arial"/>
                <w:b/>
                <w:color w:val="FFFFFF"/>
                <w:sz w:val="18"/>
                <w:szCs w:val="18"/>
              </w:rPr>
              <w:t>H1 2026 (Core)</w:t>
            </w:r>
          </w:p>
        </w:tc>
        <w:tc>
          <w:tcPr>
            <w:tcW w:w="1480" w:type="dxa"/>
            <w:shd w:val="clear" w:color="auto" w:fill="BE2A2A"/>
            <w:tcMar>
              <w:top w:w="80" w:type="dxa"/>
              <w:left w:w="140" w:type="dxa"/>
              <w:bottom w:w="80" w:type="dxa"/>
              <w:right w:w="100" w:type="dxa"/>
            </w:tcMar>
          </w:tcPr>
          <w:p w14:paraId="002B7539" w14:textId="77777777" w:rsidR="008951F6" w:rsidRDefault="00C461D0">
            <w:pPr>
              <w:spacing w:before="80" w:after="80"/>
              <w:jc w:val="center"/>
            </w:pPr>
            <w:r>
              <w:rPr>
                <w:rFonts w:ascii="Arial" w:hAnsi="Arial" w:cs="Arial"/>
                <w:b/>
                <w:color w:val="FFFFFF"/>
                <w:sz w:val="18"/>
                <w:szCs w:val="18"/>
              </w:rPr>
              <w:t>H2 2026</w:t>
            </w:r>
          </w:p>
        </w:tc>
        <w:tc>
          <w:tcPr>
            <w:tcW w:w="1466" w:type="dxa"/>
            <w:shd w:val="clear" w:color="auto" w:fill="BE2A2A"/>
            <w:tcMar>
              <w:top w:w="80" w:type="dxa"/>
              <w:left w:w="140" w:type="dxa"/>
              <w:bottom w:w="80" w:type="dxa"/>
              <w:right w:w="100" w:type="dxa"/>
            </w:tcMar>
          </w:tcPr>
          <w:p w14:paraId="1E3CBDC3" w14:textId="77777777" w:rsidR="008951F6" w:rsidRDefault="00C461D0">
            <w:pPr>
              <w:spacing w:before="80" w:after="80"/>
              <w:jc w:val="center"/>
            </w:pPr>
            <w:r>
              <w:rPr>
                <w:rFonts w:ascii="Arial" w:hAnsi="Arial" w:cs="Arial"/>
                <w:b/>
                <w:color w:val="FFFFFF"/>
                <w:sz w:val="18"/>
                <w:szCs w:val="18"/>
              </w:rPr>
              <w:t>Feb 2027 (cierre)</w:t>
            </w:r>
          </w:p>
        </w:tc>
      </w:tr>
      <w:tr w:rsidR="008951F6" w14:paraId="189A27C0" w14:textId="77777777">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C838E3D" w14:textId="77777777" w:rsidR="008951F6" w:rsidRDefault="00C461D0">
            <w:pPr>
              <w:spacing w:before="80" w:after="80"/>
            </w:pPr>
            <w:r>
              <w:rPr>
                <w:rFonts w:ascii="Arial" w:hAnsi="Arial" w:cs="Arial"/>
                <w:b/>
                <w:sz w:val="18"/>
                <w:szCs w:val="18"/>
              </w:rPr>
              <w:t>Servicios migrados a Genesys Cloud</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DF4A2D5" w14:textId="77777777" w:rsidR="008951F6" w:rsidRDefault="00C461D0">
            <w:pPr>
              <w:spacing w:before="80" w:after="80"/>
              <w:jc w:val="center"/>
            </w:pPr>
            <w:r>
              <w:rPr>
                <w:rFonts w:ascii="Arial" w:hAnsi="Arial" w:cs="Arial"/>
                <w:sz w:val="18"/>
                <w:szCs w:val="18"/>
              </w:rPr>
              <w:t>Core + 6 servicios</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D17BC10" w14:textId="77777777" w:rsidR="008951F6" w:rsidRDefault="00C461D0">
            <w:pPr>
              <w:spacing w:before="80" w:after="80"/>
              <w:jc w:val="center"/>
            </w:pPr>
            <w:r>
              <w:rPr>
                <w:rFonts w:ascii="Arial" w:hAnsi="Arial" w:cs="Arial"/>
                <w:sz w:val="18"/>
                <w:szCs w:val="18"/>
              </w:rPr>
              <w:t>11 servicios</w:t>
            </w:r>
          </w:p>
        </w:tc>
        <w:tc>
          <w:tcPr>
            <w:tcW w:w="146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296A739" w14:textId="77777777" w:rsidR="008951F6" w:rsidRDefault="00C461D0">
            <w:pPr>
              <w:spacing w:before="80" w:after="80"/>
              <w:jc w:val="center"/>
            </w:pPr>
            <w:r>
              <w:rPr>
                <w:rFonts w:ascii="Arial" w:hAnsi="Arial" w:cs="Arial"/>
                <w:sz w:val="18"/>
                <w:szCs w:val="18"/>
              </w:rPr>
              <w:t>13 servicios (100%)</w:t>
            </w:r>
          </w:p>
        </w:tc>
      </w:tr>
      <w:tr w:rsidR="008951F6" w14:paraId="276416EA" w14:textId="77777777">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CF3B5E8" w14:textId="77777777" w:rsidR="008951F6" w:rsidRDefault="00C461D0">
            <w:pPr>
              <w:spacing w:before="80" w:after="80"/>
            </w:pPr>
            <w:r>
              <w:rPr>
                <w:rFonts w:ascii="Arial" w:hAnsi="Arial" w:cs="Arial"/>
                <w:b/>
                <w:sz w:val="18"/>
                <w:szCs w:val="18"/>
              </w:rPr>
              <w:t>Operadores en nueva plataforma</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C967838" w14:textId="77777777" w:rsidR="008951F6" w:rsidRDefault="00C461D0">
            <w:pPr>
              <w:spacing w:before="80" w:after="80"/>
              <w:jc w:val="center"/>
            </w:pPr>
            <w:r>
              <w:rPr>
                <w:rFonts w:ascii="Arial" w:hAnsi="Arial" w:cs="Arial"/>
                <w:sz w:val="18"/>
                <w:szCs w:val="18"/>
              </w:rPr>
              <w:t xml:space="preserve">~200 </w:t>
            </w:r>
            <w:proofErr w:type="spellStart"/>
            <w:r>
              <w:rPr>
                <w:rFonts w:ascii="Arial" w:hAnsi="Arial" w:cs="Arial"/>
                <w:sz w:val="18"/>
                <w:szCs w:val="18"/>
              </w:rPr>
              <w:t>op</w:t>
            </w:r>
            <w:proofErr w:type="spellEnd"/>
            <w:r>
              <w:rPr>
                <w:rFonts w:ascii="Arial" w:hAnsi="Arial" w:cs="Arial"/>
                <w:sz w:val="18"/>
                <w:szCs w:val="18"/>
              </w:rPr>
              <w:t>.</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38EEEC3" w14:textId="77777777" w:rsidR="008951F6" w:rsidRDefault="00C461D0">
            <w:pPr>
              <w:spacing w:before="80" w:after="80"/>
              <w:jc w:val="center"/>
            </w:pPr>
            <w:r>
              <w:rPr>
                <w:rFonts w:ascii="Arial" w:hAnsi="Arial" w:cs="Arial"/>
                <w:sz w:val="18"/>
                <w:szCs w:val="18"/>
              </w:rPr>
              <w:t xml:space="preserve">~1.200 </w:t>
            </w:r>
            <w:proofErr w:type="spellStart"/>
            <w:r>
              <w:rPr>
                <w:rFonts w:ascii="Arial" w:hAnsi="Arial" w:cs="Arial"/>
                <w:sz w:val="18"/>
                <w:szCs w:val="18"/>
              </w:rPr>
              <w:t>op</w:t>
            </w:r>
            <w:proofErr w:type="spellEnd"/>
            <w:r>
              <w:rPr>
                <w:rFonts w:ascii="Arial" w:hAnsi="Arial" w:cs="Arial"/>
                <w:sz w:val="18"/>
                <w:szCs w:val="18"/>
              </w:rPr>
              <w:t>.</w:t>
            </w:r>
          </w:p>
        </w:tc>
        <w:tc>
          <w:tcPr>
            <w:tcW w:w="146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D6A7053" w14:textId="77777777" w:rsidR="008951F6" w:rsidRDefault="00C461D0">
            <w:pPr>
              <w:spacing w:before="80" w:after="80"/>
              <w:jc w:val="center"/>
            </w:pPr>
            <w:r>
              <w:rPr>
                <w:rFonts w:ascii="Arial" w:hAnsi="Arial" w:cs="Arial"/>
                <w:sz w:val="18"/>
                <w:szCs w:val="18"/>
              </w:rPr>
              <w:t xml:space="preserve">~2.000 </w:t>
            </w:r>
            <w:proofErr w:type="spellStart"/>
            <w:r>
              <w:rPr>
                <w:rFonts w:ascii="Arial" w:hAnsi="Arial" w:cs="Arial"/>
                <w:sz w:val="18"/>
                <w:szCs w:val="18"/>
              </w:rPr>
              <w:t>op</w:t>
            </w:r>
            <w:proofErr w:type="spellEnd"/>
            <w:r>
              <w:rPr>
                <w:rFonts w:ascii="Arial" w:hAnsi="Arial" w:cs="Arial"/>
                <w:sz w:val="18"/>
                <w:szCs w:val="18"/>
              </w:rPr>
              <w:t>. (100%)</w:t>
            </w:r>
          </w:p>
        </w:tc>
      </w:tr>
      <w:tr w:rsidR="008951F6" w14:paraId="59F6A668" w14:textId="77777777">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5CFE51A" w14:textId="77777777" w:rsidR="008951F6" w:rsidRDefault="00C461D0">
            <w:pPr>
              <w:spacing w:before="80" w:after="80"/>
            </w:pPr>
            <w:r>
              <w:rPr>
                <w:rFonts w:ascii="Arial" w:hAnsi="Arial" w:cs="Arial"/>
                <w:b/>
                <w:sz w:val="18"/>
                <w:szCs w:val="18"/>
              </w:rPr>
              <w:t>Teléfonos físicos Avaya retirados</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394E4F8" w14:textId="77777777" w:rsidR="008951F6" w:rsidRDefault="00C461D0">
            <w:pPr>
              <w:spacing w:before="80" w:after="80"/>
              <w:jc w:val="center"/>
            </w:pPr>
            <w:r>
              <w:rPr>
                <w:rFonts w:ascii="Arial" w:hAnsi="Arial" w:cs="Arial"/>
                <w:sz w:val="18"/>
                <w:szCs w:val="18"/>
              </w:rPr>
              <w:t>—</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220E5B9" w14:textId="77777777" w:rsidR="008951F6" w:rsidRDefault="00C461D0">
            <w:pPr>
              <w:spacing w:before="80" w:after="80"/>
              <w:jc w:val="center"/>
            </w:pPr>
            <w:r>
              <w:rPr>
                <w:rFonts w:ascii="Arial" w:hAnsi="Arial" w:cs="Arial"/>
                <w:sz w:val="18"/>
                <w:szCs w:val="18"/>
              </w:rPr>
              <w:t>Parcial</w:t>
            </w:r>
          </w:p>
        </w:tc>
        <w:tc>
          <w:tcPr>
            <w:tcW w:w="146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319A5B4" w14:textId="77777777" w:rsidR="008951F6" w:rsidRDefault="00C461D0">
            <w:pPr>
              <w:spacing w:before="80" w:after="80"/>
              <w:jc w:val="center"/>
            </w:pPr>
            <w:r>
              <w:rPr>
                <w:rFonts w:ascii="Arial" w:hAnsi="Arial" w:cs="Arial"/>
                <w:sz w:val="18"/>
                <w:szCs w:val="18"/>
              </w:rPr>
              <w:t>2.000 unidades</w:t>
            </w:r>
          </w:p>
        </w:tc>
      </w:tr>
      <w:tr w:rsidR="008951F6" w14:paraId="2B08EEDD" w14:textId="77777777">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65AD093" w14:textId="77777777" w:rsidR="008951F6" w:rsidRDefault="00C461D0">
            <w:pPr>
              <w:spacing w:before="80" w:after="80"/>
            </w:pPr>
            <w:r>
              <w:rPr>
                <w:rFonts w:ascii="Arial" w:hAnsi="Arial" w:cs="Arial"/>
                <w:b/>
                <w:sz w:val="18"/>
                <w:szCs w:val="18"/>
              </w:rPr>
              <w:t>Hardware CPD retirado</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5008DB7" w14:textId="77777777" w:rsidR="008951F6" w:rsidRDefault="00C461D0">
            <w:pPr>
              <w:spacing w:before="80" w:after="80"/>
              <w:jc w:val="center"/>
            </w:pPr>
            <w:r>
              <w:rPr>
                <w:rFonts w:ascii="Arial" w:hAnsi="Arial" w:cs="Arial"/>
                <w:sz w:val="18"/>
                <w:szCs w:val="18"/>
              </w:rPr>
              <w:t>—</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149780D" w14:textId="77777777" w:rsidR="008951F6" w:rsidRDefault="00C461D0">
            <w:pPr>
              <w:spacing w:before="80" w:after="80"/>
              <w:jc w:val="center"/>
            </w:pPr>
            <w:r>
              <w:rPr>
                <w:rFonts w:ascii="Arial" w:hAnsi="Arial" w:cs="Arial"/>
                <w:sz w:val="18"/>
                <w:szCs w:val="18"/>
              </w:rPr>
              <w:t>—</w:t>
            </w:r>
          </w:p>
        </w:tc>
        <w:tc>
          <w:tcPr>
            <w:tcW w:w="146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A8F6B02" w14:textId="77777777" w:rsidR="008951F6" w:rsidRDefault="00C461D0">
            <w:pPr>
              <w:spacing w:before="80" w:after="80"/>
              <w:jc w:val="center"/>
            </w:pPr>
            <w:r>
              <w:rPr>
                <w:rFonts w:ascii="Arial" w:hAnsi="Arial" w:cs="Arial"/>
                <w:sz w:val="18"/>
                <w:szCs w:val="18"/>
              </w:rPr>
              <w:t>Completo</w:t>
            </w:r>
          </w:p>
        </w:tc>
      </w:tr>
      <w:tr w:rsidR="008951F6" w14:paraId="3D516798" w14:textId="77777777">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0C06489" w14:textId="77777777" w:rsidR="008951F6" w:rsidRDefault="00C461D0">
            <w:pPr>
              <w:spacing w:before="80" w:after="80"/>
            </w:pPr>
            <w:r>
              <w:rPr>
                <w:rFonts w:ascii="Arial" w:hAnsi="Arial" w:cs="Arial"/>
                <w:b/>
                <w:sz w:val="18"/>
                <w:szCs w:val="18"/>
              </w:rPr>
              <w:t>Ecosistema simplificado (herramientas eliminadas)</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FDDA3DA" w14:textId="77777777" w:rsidR="008951F6" w:rsidRDefault="00C461D0">
            <w:pPr>
              <w:spacing w:before="80" w:after="80"/>
              <w:jc w:val="center"/>
            </w:pPr>
            <w:r>
              <w:rPr>
                <w:rFonts w:ascii="Arial" w:hAnsi="Arial" w:cs="Arial"/>
                <w:sz w:val="18"/>
                <w:szCs w:val="18"/>
              </w:rPr>
              <w:t>Discovery</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4E3B1FF" w14:textId="77777777" w:rsidR="008951F6" w:rsidRDefault="00C461D0">
            <w:pPr>
              <w:spacing w:before="80" w:after="80"/>
              <w:jc w:val="center"/>
            </w:pPr>
            <w:r>
              <w:rPr>
                <w:rFonts w:ascii="Arial" w:hAnsi="Arial" w:cs="Arial"/>
                <w:sz w:val="18"/>
                <w:szCs w:val="18"/>
              </w:rPr>
              <w:t>Avaya + NICE</w:t>
            </w:r>
          </w:p>
        </w:tc>
        <w:tc>
          <w:tcPr>
            <w:tcW w:w="146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E304846" w14:textId="77777777" w:rsidR="008951F6" w:rsidRDefault="00C461D0">
            <w:pPr>
              <w:spacing w:before="80" w:after="80"/>
              <w:jc w:val="center"/>
            </w:pPr>
            <w:r>
              <w:rPr>
                <w:rFonts w:ascii="Arial" w:hAnsi="Arial" w:cs="Arial"/>
                <w:sz w:val="18"/>
                <w:szCs w:val="18"/>
              </w:rPr>
              <w:t xml:space="preserve">Avaya + NICE + </w:t>
            </w:r>
            <w:proofErr w:type="spellStart"/>
            <w:r>
              <w:rPr>
                <w:rFonts w:ascii="Arial" w:hAnsi="Arial" w:cs="Arial"/>
                <w:sz w:val="18"/>
                <w:szCs w:val="18"/>
              </w:rPr>
              <w:t>Calabrio</w:t>
            </w:r>
            <w:proofErr w:type="spellEnd"/>
          </w:p>
        </w:tc>
      </w:tr>
    </w:tbl>
    <w:p w14:paraId="76FFF49A" w14:textId="77777777" w:rsidR="008951F6" w:rsidRDefault="008951F6">
      <w:pPr>
        <w:spacing w:before="180"/>
      </w:pPr>
    </w:p>
    <w:p w14:paraId="5457B599" w14:textId="77777777" w:rsidR="008951F6" w:rsidRDefault="00C461D0">
      <w:pPr>
        <w:spacing w:after="100"/>
      </w:pPr>
      <w:r>
        <w:rPr>
          <w:rFonts w:ascii="Arial" w:hAnsi="Arial" w:cs="Arial"/>
          <w:b/>
          <w:sz w:val="16"/>
          <w:szCs w:val="16"/>
        </w:rPr>
        <w:t>EXPERIENCIA DE CLIENTE Y OPERACIÓN</w:t>
      </w:r>
    </w:p>
    <w:tbl>
      <w:tblPr>
        <w:tblW w:w="9026" w:type="dxa"/>
        <w:tblCellMar>
          <w:left w:w="10" w:type="dxa"/>
          <w:right w:w="10" w:type="dxa"/>
        </w:tblCellMar>
        <w:tblLook w:val="0000" w:firstRow="0" w:lastRow="0" w:firstColumn="0" w:lastColumn="0" w:noHBand="0" w:noVBand="0"/>
      </w:tblPr>
      <w:tblGrid>
        <w:gridCol w:w="5074"/>
        <w:gridCol w:w="1976"/>
        <w:gridCol w:w="1976"/>
      </w:tblGrid>
      <w:tr w:rsidR="008951F6" w14:paraId="10B8A562" w14:textId="77777777">
        <w:trPr>
          <w:tblHeader/>
        </w:trPr>
        <w:tc>
          <w:tcPr>
            <w:tcW w:w="3800" w:type="dxa"/>
            <w:shd w:val="clear" w:color="auto" w:fill="2C2C2A"/>
            <w:tcMar>
              <w:top w:w="80" w:type="dxa"/>
              <w:left w:w="140" w:type="dxa"/>
              <w:bottom w:w="80" w:type="dxa"/>
              <w:right w:w="100" w:type="dxa"/>
            </w:tcMar>
          </w:tcPr>
          <w:p w14:paraId="43DE9FF3" w14:textId="77777777" w:rsidR="008951F6" w:rsidRDefault="00C461D0">
            <w:pPr>
              <w:spacing w:before="80" w:after="80"/>
            </w:pPr>
            <w:r>
              <w:rPr>
                <w:rFonts w:ascii="Arial" w:hAnsi="Arial" w:cs="Arial"/>
                <w:b/>
                <w:color w:val="FFFFFF"/>
                <w:sz w:val="18"/>
                <w:szCs w:val="18"/>
              </w:rPr>
              <w:t>Indicador</w:t>
            </w:r>
          </w:p>
        </w:tc>
        <w:tc>
          <w:tcPr>
            <w:tcW w:w="1480" w:type="dxa"/>
            <w:shd w:val="clear" w:color="auto" w:fill="2C2C2A"/>
            <w:tcMar>
              <w:top w:w="80" w:type="dxa"/>
              <w:left w:w="140" w:type="dxa"/>
              <w:bottom w:w="80" w:type="dxa"/>
              <w:right w:w="100" w:type="dxa"/>
            </w:tcMar>
          </w:tcPr>
          <w:p w14:paraId="4EAB004C" w14:textId="77777777" w:rsidR="008951F6" w:rsidRDefault="00C461D0">
            <w:pPr>
              <w:spacing w:before="80" w:after="80"/>
              <w:jc w:val="center"/>
            </w:pPr>
            <w:r>
              <w:rPr>
                <w:rFonts w:ascii="Arial" w:hAnsi="Arial" w:cs="Arial"/>
                <w:b/>
                <w:color w:val="FFFFFF"/>
                <w:sz w:val="18"/>
                <w:szCs w:val="18"/>
              </w:rPr>
              <w:t>Situación actual</w:t>
            </w:r>
          </w:p>
        </w:tc>
        <w:tc>
          <w:tcPr>
            <w:tcW w:w="1480" w:type="dxa"/>
            <w:shd w:val="clear" w:color="auto" w:fill="2C2C2A"/>
            <w:tcMar>
              <w:top w:w="80" w:type="dxa"/>
              <w:left w:w="140" w:type="dxa"/>
              <w:bottom w:w="80" w:type="dxa"/>
              <w:right w:w="100" w:type="dxa"/>
            </w:tcMar>
          </w:tcPr>
          <w:p w14:paraId="11374758" w14:textId="77777777" w:rsidR="008951F6" w:rsidRDefault="00C461D0">
            <w:pPr>
              <w:spacing w:before="80" w:after="80"/>
              <w:jc w:val="center"/>
            </w:pPr>
            <w:r>
              <w:rPr>
                <w:rFonts w:ascii="Arial" w:hAnsi="Arial" w:cs="Arial"/>
                <w:b/>
                <w:color w:val="FFFFFF"/>
                <w:sz w:val="18"/>
                <w:szCs w:val="18"/>
              </w:rPr>
              <w:t xml:space="preserve">Objetivo </w:t>
            </w:r>
            <w:proofErr w:type="spellStart"/>
            <w:r>
              <w:rPr>
                <w:rFonts w:ascii="Arial" w:hAnsi="Arial" w:cs="Arial"/>
                <w:b/>
                <w:color w:val="FFFFFF"/>
                <w:sz w:val="18"/>
                <w:szCs w:val="18"/>
              </w:rPr>
              <w:t>post-migración</w:t>
            </w:r>
            <w:proofErr w:type="spellEnd"/>
          </w:p>
        </w:tc>
      </w:tr>
      <w:tr w:rsidR="008951F6" w14:paraId="2A84CC1F" w14:textId="77777777">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6AD4CBD" w14:textId="77777777" w:rsidR="008951F6" w:rsidRDefault="00C461D0">
            <w:pPr>
              <w:spacing w:before="80" w:after="80"/>
            </w:pPr>
            <w:r>
              <w:rPr>
                <w:rFonts w:ascii="Arial" w:hAnsi="Arial" w:cs="Arial"/>
                <w:b/>
                <w:sz w:val="18"/>
                <w:szCs w:val="18"/>
              </w:rPr>
              <w:t>IVR con pregunta abierta conversacional</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165A19D" w14:textId="77777777" w:rsidR="008951F6" w:rsidRDefault="00C461D0">
            <w:pPr>
              <w:spacing w:before="80" w:after="80"/>
              <w:jc w:val="center"/>
            </w:pPr>
            <w:r>
              <w:rPr>
                <w:rFonts w:ascii="Arial" w:hAnsi="Arial" w:cs="Arial"/>
                <w:sz w:val="18"/>
                <w:szCs w:val="18"/>
              </w:rPr>
              <w:t>No</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2F5CB4C" w14:textId="77777777" w:rsidR="008951F6" w:rsidRDefault="00C461D0">
            <w:pPr>
              <w:spacing w:before="80" w:after="80"/>
              <w:jc w:val="center"/>
            </w:pPr>
            <w:r>
              <w:rPr>
                <w:rFonts w:ascii="Arial" w:hAnsi="Arial" w:cs="Arial"/>
                <w:sz w:val="18"/>
                <w:szCs w:val="18"/>
              </w:rPr>
              <w:t>Sí (todos los servicios)</w:t>
            </w:r>
          </w:p>
        </w:tc>
      </w:tr>
      <w:tr w:rsidR="008951F6" w14:paraId="738B0903" w14:textId="77777777">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3978CDE" w14:textId="77777777" w:rsidR="008951F6" w:rsidRDefault="00C461D0">
            <w:pPr>
              <w:spacing w:before="80" w:after="80"/>
            </w:pPr>
            <w:r>
              <w:rPr>
                <w:rFonts w:ascii="Arial" w:hAnsi="Arial" w:cs="Arial"/>
                <w:b/>
                <w:sz w:val="18"/>
                <w:szCs w:val="18"/>
              </w:rPr>
              <w:t>Visibilidad sobre CC externos</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803F5B2" w14:textId="77777777" w:rsidR="008951F6" w:rsidRDefault="00C461D0">
            <w:pPr>
              <w:spacing w:before="80" w:after="80"/>
              <w:jc w:val="center"/>
            </w:pPr>
            <w:r>
              <w:rPr>
                <w:rFonts w:ascii="Arial" w:hAnsi="Arial" w:cs="Arial"/>
                <w:sz w:val="18"/>
                <w:szCs w:val="18"/>
              </w:rPr>
              <w:t>0%</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AF5675C" w14:textId="77777777" w:rsidR="008951F6" w:rsidRDefault="00C461D0">
            <w:pPr>
              <w:spacing w:before="80" w:after="80"/>
              <w:jc w:val="center"/>
            </w:pPr>
            <w:r>
              <w:rPr>
                <w:rFonts w:ascii="Arial" w:hAnsi="Arial" w:cs="Arial"/>
                <w:sz w:val="18"/>
                <w:szCs w:val="18"/>
              </w:rPr>
              <w:t>100%</w:t>
            </w:r>
          </w:p>
        </w:tc>
      </w:tr>
      <w:tr w:rsidR="008951F6" w14:paraId="497D0492" w14:textId="77777777">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7E5BB11" w14:textId="77777777" w:rsidR="008951F6" w:rsidRDefault="00C461D0">
            <w:pPr>
              <w:spacing w:before="80" w:after="80"/>
            </w:pPr>
            <w:r>
              <w:rPr>
                <w:rFonts w:ascii="Arial" w:hAnsi="Arial" w:cs="Arial"/>
                <w:b/>
                <w:sz w:val="18"/>
                <w:szCs w:val="18"/>
              </w:rPr>
              <w:t>Transcripción en tiempo real integrada con CRM</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3464223" w14:textId="77777777" w:rsidR="008951F6" w:rsidRDefault="00C461D0">
            <w:pPr>
              <w:spacing w:before="80" w:after="80"/>
              <w:jc w:val="center"/>
            </w:pPr>
            <w:r>
              <w:rPr>
                <w:rFonts w:ascii="Arial" w:hAnsi="Arial" w:cs="Arial"/>
                <w:sz w:val="18"/>
                <w:szCs w:val="18"/>
              </w:rPr>
              <w:t>No</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963ECB7" w14:textId="77777777" w:rsidR="008951F6" w:rsidRDefault="00C461D0">
            <w:pPr>
              <w:spacing w:before="80" w:after="80"/>
              <w:jc w:val="center"/>
            </w:pPr>
            <w:r>
              <w:rPr>
                <w:rFonts w:ascii="Arial" w:hAnsi="Arial" w:cs="Arial"/>
                <w:sz w:val="18"/>
                <w:szCs w:val="18"/>
              </w:rPr>
              <w:t>Sí</w:t>
            </w:r>
          </w:p>
        </w:tc>
      </w:tr>
      <w:tr w:rsidR="008951F6" w:rsidRPr="009A0710" w14:paraId="49EF9CF6" w14:textId="77777777">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C252895" w14:textId="77777777" w:rsidR="008951F6" w:rsidRDefault="00C461D0">
            <w:pPr>
              <w:spacing w:before="80" w:after="80"/>
            </w:pPr>
            <w:r>
              <w:rPr>
                <w:rFonts w:ascii="Arial" w:hAnsi="Arial" w:cs="Arial"/>
                <w:b/>
                <w:sz w:val="18"/>
                <w:szCs w:val="18"/>
              </w:rPr>
              <w:t>Canales gestionados desde plataforma única</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892CA47" w14:textId="77777777" w:rsidR="008951F6" w:rsidRDefault="00C461D0">
            <w:pPr>
              <w:spacing w:before="80" w:after="80"/>
              <w:jc w:val="center"/>
            </w:pPr>
            <w:r>
              <w:rPr>
                <w:rFonts w:ascii="Arial" w:hAnsi="Arial" w:cs="Arial"/>
                <w:sz w:val="18"/>
                <w:szCs w:val="18"/>
              </w:rPr>
              <w:t>Voz (parcial)</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266B9B8" w14:textId="5185AB98" w:rsidR="008951F6" w:rsidRPr="009A0710" w:rsidRDefault="00C461D0">
            <w:pPr>
              <w:spacing w:before="80" w:after="80"/>
              <w:jc w:val="center"/>
              <w:rPr>
                <w:lang w:val="en-US"/>
              </w:rPr>
            </w:pPr>
            <w:r w:rsidRPr="009A0710">
              <w:rPr>
                <w:rFonts w:ascii="Arial" w:hAnsi="Arial" w:cs="Arial"/>
                <w:sz w:val="18"/>
                <w:szCs w:val="18"/>
                <w:lang w:val="en-US"/>
              </w:rPr>
              <w:t>Voz + Chat + C2C + SMS</w:t>
            </w:r>
            <w:r w:rsidR="009A0710">
              <w:rPr>
                <w:rFonts w:ascii="Arial" w:hAnsi="Arial" w:cs="Arial"/>
                <w:sz w:val="18"/>
                <w:szCs w:val="18"/>
                <w:lang w:val="en-US"/>
              </w:rPr>
              <w:t>*</w:t>
            </w:r>
          </w:p>
        </w:tc>
      </w:tr>
      <w:tr w:rsidR="008951F6" w14:paraId="3ACFB753" w14:textId="77777777">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8657066" w14:textId="77777777" w:rsidR="008951F6" w:rsidRDefault="00C461D0">
            <w:pPr>
              <w:spacing w:before="80" w:after="80"/>
            </w:pPr>
            <w:r>
              <w:rPr>
                <w:rFonts w:ascii="Arial" w:hAnsi="Arial" w:cs="Arial"/>
                <w:b/>
                <w:sz w:val="18"/>
                <w:szCs w:val="18"/>
              </w:rPr>
              <w:t>Infraestructura lista para agentes de voz IA</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695A32A" w14:textId="77777777" w:rsidR="008951F6" w:rsidRDefault="00C461D0">
            <w:pPr>
              <w:spacing w:before="80" w:after="80"/>
              <w:jc w:val="center"/>
            </w:pPr>
            <w:r>
              <w:rPr>
                <w:rFonts w:ascii="Arial" w:hAnsi="Arial" w:cs="Arial"/>
                <w:sz w:val="18"/>
                <w:szCs w:val="18"/>
              </w:rPr>
              <w:t>No</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5A15F3F" w14:textId="77777777" w:rsidR="008951F6" w:rsidRDefault="00C461D0">
            <w:pPr>
              <w:spacing w:before="80" w:after="80"/>
              <w:jc w:val="center"/>
            </w:pPr>
            <w:r>
              <w:rPr>
                <w:rFonts w:ascii="Arial" w:hAnsi="Arial" w:cs="Arial"/>
                <w:sz w:val="18"/>
                <w:szCs w:val="18"/>
              </w:rPr>
              <w:t>Sí</w:t>
            </w:r>
          </w:p>
        </w:tc>
      </w:tr>
    </w:tbl>
    <w:p w14:paraId="4DB8B0E9" w14:textId="7A032243" w:rsidR="008951F6" w:rsidRDefault="00530ACD" w:rsidP="00530ACD">
      <w:pPr>
        <w:spacing w:before="180"/>
      </w:pPr>
      <w:r>
        <w:t xml:space="preserve">* En caso de querer añadir </w:t>
      </w:r>
      <w:proofErr w:type="spellStart"/>
      <w:r>
        <w:t>Whatsapp</w:t>
      </w:r>
      <w:proofErr w:type="spellEnd"/>
      <w:r>
        <w:t xml:space="preserve"> como canal, también se podría ofrecer y se gestionaría de manera unificada</w:t>
      </w:r>
    </w:p>
    <w:p w14:paraId="6E9A062B" w14:textId="77777777" w:rsidR="001E44A7" w:rsidRDefault="001E44A7" w:rsidP="00530ACD">
      <w:pPr>
        <w:spacing w:before="180"/>
      </w:pPr>
    </w:p>
    <w:p w14:paraId="7E914F1A" w14:textId="77777777" w:rsidR="00665FD0" w:rsidRDefault="00665FD0" w:rsidP="00665FD0">
      <w:pPr>
        <w:spacing w:before="200" w:after="100"/>
      </w:pPr>
      <w:r>
        <w:rPr>
          <w:rFonts w:ascii="Arial" w:hAnsi="Arial" w:cs="Arial"/>
          <w:b/>
          <w:sz w:val="16"/>
          <w:szCs w:val="16"/>
        </w:rPr>
        <w:lastRenderedPageBreak/>
        <w:t>OBJETIVOS DE NEGOCIO</w:t>
      </w:r>
    </w:p>
    <w:tbl>
      <w:tblPr>
        <w:tblW w:w="9026" w:type="dxa"/>
        <w:tblLook w:val="04A0" w:firstRow="1" w:lastRow="0" w:firstColumn="1" w:lastColumn="0" w:noHBand="0" w:noVBand="1"/>
      </w:tblPr>
      <w:tblGrid>
        <w:gridCol w:w="5826"/>
        <w:gridCol w:w="3200"/>
      </w:tblGrid>
      <w:tr w:rsidR="00665FD0" w14:paraId="4BD3A4EA" w14:textId="77777777" w:rsidTr="008D2625">
        <w:trPr>
          <w:tblHeader/>
        </w:trPr>
        <w:tc>
          <w:tcPr>
            <w:tcW w:w="5826" w:type="dxa"/>
            <w:shd w:val="clear" w:color="auto" w:fill="2C2C2A"/>
            <w:tcMar>
              <w:top w:w="80" w:type="dxa"/>
              <w:left w:w="140" w:type="dxa"/>
              <w:bottom w:w="80" w:type="dxa"/>
              <w:right w:w="100" w:type="dxa"/>
            </w:tcMar>
          </w:tcPr>
          <w:p w14:paraId="27949A39" w14:textId="77777777" w:rsidR="00665FD0" w:rsidRDefault="00665FD0" w:rsidP="008D2625">
            <w:pPr>
              <w:spacing w:before="80" w:after="80"/>
            </w:pPr>
            <w:r>
              <w:rPr>
                <w:rFonts w:ascii="Arial" w:hAnsi="Arial" w:cs="Arial"/>
                <w:b/>
                <w:color w:val="FFFFFF"/>
                <w:sz w:val="18"/>
                <w:szCs w:val="18"/>
              </w:rPr>
              <w:t>Indicador de negocio</w:t>
            </w:r>
          </w:p>
        </w:tc>
        <w:tc>
          <w:tcPr>
            <w:tcW w:w="3200" w:type="dxa"/>
            <w:shd w:val="clear" w:color="auto" w:fill="2C2C2A"/>
            <w:tcMar>
              <w:top w:w="80" w:type="dxa"/>
              <w:left w:w="140" w:type="dxa"/>
              <w:bottom w:w="80" w:type="dxa"/>
              <w:right w:w="100" w:type="dxa"/>
            </w:tcMar>
          </w:tcPr>
          <w:p w14:paraId="0AED4744" w14:textId="77777777" w:rsidR="00665FD0" w:rsidRDefault="00665FD0" w:rsidP="008D2625">
            <w:pPr>
              <w:spacing w:before="80" w:after="80"/>
            </w:pPr>
            <w:r>
              <w:rPr>
                <w:rFonts w:ascii="Arial" w:hAnsi="Arial" w:cs="Arial"/>
                <w:b/>
                <w:color w:val="FFFFFF"/>
                <w:sz w:val="18"/>
                <w:szCs w:val="18"/>
              </w:rPr>
              <w:t>Objetivo</w:t>
            </w:r>
          </w:p>
        </w:tc>
      </w:tr>
      <w:tr w:rsidR="00665FD0" w14:paraId="793EABB7" w14:textId="77777777" w:rsidTr="008D2625">
        <w:tc>
          <w:tcPr>
            <w:tcW w:w="58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16A7B1B" w14:textId="77777777" w:rsidR="00665FD0" w:rsidRDefault="00665FD0" w:rsidP="008D2625">
            <w:pPr>
              <w:spacing w:before="80" w:after="80"/>
            </w:pPr>
            <w:r>
              <w:rPr>
                <w:b/>
                <w:sz w:val="18"/>
                <w:szCs w:val="18"/>
              </w:rPr>
              <w:t>Reducción de transferencias entre servicios</w:t>
            </w:r>
          </w:p>
        </w:tc>
        <w:tc>
          <w:tcPr>
            <w:tcW w:w="32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D0162F8" w14:textId="77777777" w:rsidR="00665FD0" w:rsidRDefault="00665FD0" w:rsidP="008D2625">
            <w:pPr>
              <w:spacing w:before="80" w:after="80"/>
              <w:jc w:val="center"/>
            </w:pPr>
            <w:r>
              <w:rPr>
                <w:sz w:val="18"/>
                <w:szCs w:val="18"/>
              </w:rPr>
              <w:t>TBD</w:t>
            </w:r>
          </w:p>
        </w:tc>
      </w:tr>
      <w:tr w:rsidR="00665FD0" w14:paraId="5EA56E64" w14:textId="77777777" w:rsidTr="008D2625">
        <w:tc>
          <w:tcPr>
            <w:tcW w:w="58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44E93B2" w14:textId="77777777" w:rsidR="00665FD0" w:rsidRDefault="00665FD0" w:rsidP="008D2625">
            <w:pPr>
              <w:spacing w:before="80" w:after="80"/>
            </w:pPr>
            <w:r>
              <w:rPr>
                <w:b/>
                <w:sz w:val="18"/>
                <w:szCs w:val="18"/>
              </w:rPr>
              <w:t>Mejora del % de clientes identificados en llamada entrante</w:t>
            </w:r>
          </w:p>
        </w:tc>
        <w:tc>
          <w:tcPr>
            <w:tcW w:w="32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5851C90" w14:textId="77777777" w:rsidR="00665FD0" w:rsidRDefault="00665FD0" w:rsidP="008D2625">
            <w:pPr>
              <w:spacing w:before="80" w:after="80"/>
              <w:jc w:val="center"/>
            </w:pPr>
            <w:r>
              <w:rPr>
                <w:sz w:val="18"/>
                <w:szCs w:val="18"/>
              </w:rPr>
              <w:t>TBD</w:t>
            </w:r>
          </w:p>
        </w:tc>
      </w:tr>
      <w:tr w:rsidR="00665FD0" w14:paraId="6BE5BFF2" w14:textId="77777777" w:rsidTr="008D2625">
        <w:tc>
          <w:tcPr>
            <w:tcW w:w="58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B88E75F" w14:textId="77777777" w:rsidR="00665FD0" w:rsidRDefault="00665FD0" w:rsidP="008D2625">
            <w:pPr>
              <w:spacing w:before="80" w:after="80"/>
            </w:pPr>
            <w:r>
              <w:rPr>
                <w:b/>
                <w:sz w:val="18"/>
                <w:szCs w:val="18"/>
              </w:rPr>
              <w:t>Mejora del % de motivos de llamada correctamente identificados</w:t>
            </w:r>
          </w:p>
        </w:tc>
        <w:tc>
          <w:tcPr>
            <w:tcW w:w="32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E20D05A" w14:textId="77777777" w:rsidR="00665FD0" w:rsidRDefault="00665FD0" w:rsidP="008D2625">
            <w:pPr>
              <w:spacing w:before="80" w:after="80"/>
              <w:jc w:val="center"/>
            </w:pPr>
            <w:r>
              <w:rPr>
                <w:sz w:val="18"/>
                <w:szCs w:val="18"/>
              </w:rPr>
              <w:t>TBD</w:t>
            </w:r>
          </w:p>
        </w:tc>
      </w:tr>
    </w:tbl>
    <w:p w14:paraId="0F104770" w14:textId="77777777" w:rsidR="00665FD0" w:rsidRDefault="00665FD0">
      <w:pPr>
        <w:spacing w:after="100"/>
        <w:rPr>
          <w:rFonts w:ascii="Arial" w:hAnsi="Arial" w:cs="Arial"/>
          <w:b/>
          <w:color w:val="8B6914"/>
          <w:sz w:val="16"/>
          <w:szCs w:val="16"/>
        </w:rPr>
      </w:pPr>
    </w:p>
    <w:p w14:paraId="51991B64" w14:textId="77777777" w:rsidR="00665FD0" w:rsidRDefault="00665FD0">
      <w:pPr>
        <w:spacing w:after="100"/>
        <w:rPr>
          <w:rFonts w:ascii="Arial" w:hAnsi="Arial" w:cs="Arial"/>
          <w:b/>
          <w:color w:val="8B6914"/>
          <w:sz w:val="16"/>
          <w:szCs w:val="16"/>
        </w:rPr>
      </w:pPr>
    </w:p>
    <w:p w14:paraId="4167B89B" w14:textId="1FB5732D" w:rsidR="008951F6" w:rsidRDefault="00C461D0">
      <w:pPr>
        <w:spacing w:after="100"/>
      </w:pPr>
      <w:r>
        <w:rPr>
          <w:rFonts w:ascii="Arial" w:hAnsi="Arial" w:cs="Arial"/>
          <w:b/>
          <w:color w:val="8B6914"/>
          <w:sz w:val="16"/>
          <w:szCs w:val="16"/>
        </w:rPr>
        <w:t>SERVICIO Y CONTINUIDAD</w:t>
      </w:r>
    </w:p>
    <w:tbl>
      <w:tblPr>
        <w:tblW w:w="9026" w:type="dxa"/>
        <w:tblCellMar>
          <w:left w:w="10" w:type="dxa"/>
          <w:right w:w="10" w:type="dxa"/>
        </w:tblCellMar>
        <w:tblLook w:val="0000" w:firstRow="0" w:lastRow="0" w:firstColumn="0" w:lastColumn="0" w:noHBand="0" w:noVBand="0"/>
      </w:tblPr>
      <w:tblGrid>
        <w:gridCol w:w="6496"/>
        <w:gridCol w:w="2530"/>
      </w:tblGrid>
      <w:tr w:rsidR="008951F6" w14:paraId="69CDDD2C" w14:textId="77777777">
        <w:trPr>
          <w:tblHeader/>
        </w:trPr>
        <w:tc>
          <w:tcPr>
            <w:tcW w:w="3800" w:type="dxa"/>
            <w:shd w:val="clear" w:color="auto" w:fill="8B6914"/>
            <w:tcMar>
              <w:top w:w="80" w:type="dxa"/>
              <w:left w:w="140" w:type="dxa"/>
              <w:bottom w:w="80" w:type="dxa"/>
              <w:right w:w="100" w:type="dxa"/>
            </w:tcMar>
          </w:tcPr>
          <w:p w14:paraId="4321E39B" w14:textId="77777777" w:rsidR="008951F6" w:rsidRDefault="00C461D0">
            <w:pPr>
              <w:spacing w:before="80" w:after="80"/>
            </w:pPr>
            <w:r>
              <w:rPr>
                <w:rFonts w:ascii="Arial" w:hAnsi="Arial" w:cs="Arial"/>
                <w:b/>
                <w:color w:val="FFFFFF"/>
                <w:sz w:val="18"/>
                <w:szCs w:val="18"/>
              </w:rPr>
              <w:t>Indicador</w:t>
            </w:r>
          </w:p>
        </w:tc>
        <w:tc>
          <w:tcPr>
            <w:tcW w:w="1480" w:type="dxa"/>
            <w:shd w:val="clear" w:color="auto" w:fill="8B6914"/>
            <w:tcMar>
              <w:top w:w="80" w:type="dxa"/>
              <w:left w:w="140" w:type="dxa"/>
              <w:bottom w:w="80" w:type="dxa"/>
              <w:right w:w="100" w:type="dxa"/>
            </w:tcMar>
          </w:tcPr>
          <w:p w14:paraId="06258E39" w14:textId="77777777" w:rsidR="008951F6" w:rsidRDefault="00C461D0">
            <w:pPr>
              <w:spacing w:before="80" w:after="80"/>
              <w:jc w:val="center"/>
            </w:pPr>
            <w:r>
              <w:rPr>
                <w:rFonts w:ascii="Arial" w:hAnsi="Arial" w:cs="Arial"/>
                <w:b/>
                <w:color w:val="FFFFFF"/>
                <w:sz w:val="18"/>
                <w:szCs w:val="18"/>
              </w:rPr>
              <w:t>Objetivo</w:t>
            </w:r>
          </w:p>
        </w:tc>
      </w:tr>
      <w:tr w:rsidR="008951F6" w14:paraId="5779B0D9" w14:textId="77777777">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9AAD13B" w14:textId="77777777" w:rsidR="008951F6" w:rsidRDefault="00C461D0">
            <w:pPr>
              <w:spacing w:before="80" w:after="80"/>
            </w:pPr>
            <w:r>
              <w:rPr>
                <w:rFonts w:ascii="Arial" w:hAnsi="Arial" w:cs="Arial"/>
                <w:b/>
                <w:sz w:val="18"/>
                <w:szCs w:val="18"/>
              </w:rPr>
              <w:t>Incidencias de servicio durante migración</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9297BA8" w14:textId="77777777" w:rsidR="008951F6" w:rsidRDefault="00C461D0">
            <w:pPr>
              <w:spacing w:before="80" w:after="80"/>
              <w:jc w:val="center"/>
            </w:pPr>
            <w:r>
              <w:rPr>
                <w:rFonts w:ascii="Arial" w:hAnsi="Arial" w:cs="Arial"/>
                <w:sz w:val="18"/>
                <w:szCs w:val="18"/>
              </w:rPr>
              <w:t>Impacto 0 en producción</w:t>
            </w:r>
          </w:p>
        </w:tc>
      </w:tr>
      <w:tr w:rsidR="008951F6" w14:paraId="1F780386" w14:textId="77777777">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2826658" w14:textId="77777777" w:rsidR="008951F6" w:rsidRDefault="00C461D0">
            <w:pPr>
              <w:spacing w:before="80" w:after="80"/>
            </w:pPr>
            <w:r>
              <w:rPr>
                <w:rFonts w:ascii="Arial" w:hAnsi="Arial" w:cs="Arial"/>
                <w:b/>
                <w:sz w:val="18"/>
                <w:szCs w:val="18"/>
              </w:rPr>
              <w:t xml:space="preserve">Soporte </w:t>
            </w:r>
            <w:proofErr w:type="spellStart"/>
            <w:r>
              <w:rPr>
                <w:rFonts w:ascii="Arial" w:hAnsi="Arial" w:cs="Arial"/>
                <w:b/>
                <w:sz w:val="18"/>
                <w:szCs w:val="18"/>
              </w:rPr>
              <w:t>post-producción</w:t>
            </w:r>
            <w:proofErr w:type="spellEnd"/>
            <w:r>
              <w:rPr>
                <w:rFonts w:ascii="Arial" w:hAnsi="Arial" w:cs="Arial"/>
                <w:b/>
                <w:sz w:val="18"/>
                <w:szCs w:val="18"/>
              </w:rPr>
              <w:t xml:space="preserve"> por servicio migrado</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F9D454B" w14:textId="77777777" w:rsidR="008951F6" w:rsidRDefault="00C461D0">
            <w:pPr>
              <w:spacing w:before="80" w:after="80"/>
              <w:jc w:val="center"/>
            </w:pPr>
            <w:r>
              <w:rPr>
                <w:rFonts w:ascii="Arial" w:hAnsi="Arial" w:cs="Arial"/>
                <w:sz w:val="18"/>
                <w:szCs w:val="18"/>
              </w:rPr>
              <w:t>Incluido en cada PaP</w:t>
            </w:r>
          </w:p>
        </w:tc>
      </w:tr>
      <w:tr w:rsidR="008951F6" w14:paraId="1B805115" w14:textId="77777777">
        <w:tc>
          <w:tcPr>
            <w:tcW w:w="3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A2BE4C6" w14:textId="77777777" w:rsidR="008951F6" w:rsidRDefault="00C461D0">
            <w:pPr>
              <w:spacing w:before="80" w:after="80"/>
            </w:pPr>
            <w:r>
              <w:rPr>
                <w:rFonts w:ascii="Arial" w:hAnsi="Arial" w:cs="Arial"/>
                <w:b/>
                <w:sz w:val="18"/>
                <w:szCs w:val="18"/>
              </w:rPr>
              <w:t>Mantenimiento plataforma (años contratados)</w:t>
            </w:r>
          </w:p>
        </w:tc>
        <w:tc>
          <w:tcPr>
            <w:tcW w:w="148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0F46981" w14:textId="77777777" w:rsidR="008951F6" w:rsidRDefault="00C461D0">
            <w:pPr>
              <w:spacing w:before="80" w:after="80"/>
              <w:jc w:val="center"/>
            </w:pPr>
            <w:r>
              <w:rPr>
                <w:rFonts w:ascii="Arial" w:hAnsi="Arial" w:cs="Arial"/>
                <w:sz w:val="18"/>
                <w:szCs w:val="18"/>
              </w:rPr>
              <w:t>5 años</w:t>
            </w:r>
          </w:p>
        </w:tc>
      </w:tr>
      <w:tr w:rsidR="008951F6" w14:paraId="1B008706" w14:textId="77777777">
        <w:tc>
          <w:tcPr>
            <w:tcW w:w="3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4B35697" w14:textId="77777777" w:rsidR="008951F6" w:rsidRDefault="00C461D0">
            <w:pPr>
              <w:spacing w:before="80" w:after="80"/>
            </w:pPr>
            <w:r>
              <w:rPr>
                <w:rFonts w:ascii="Arial" w:hAnsi="Arial" w:cs="Arial"/>
                <w:b/>
                <w:sz w:val="18"/>
                <w:szCs w:val="18"/>
              </w:rPr>
              <w:t>Alta disponibilidad y redundancia</w:t>
            </w:r>
          </w:p>
        </w:tc>
        <w:tc>
          <w:tcPr>
            <w:tcW w:w="148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F0DAF08" w14:textId="77777777" w:rsidR="008951F6" w:rsidRDefault="00C461D0">
            <w:pPr>
              <w:spacing w:before="80" w:after="80"/>
              <w:jc w:val="center"/>
            </w:pPr>
            <w:r>
              <w:rPr>
                <w:rFonts w:ascii="Arial" w:hAnsi="Arial" w:cs="Arial"/>
                <w:sz w:val="18"/>
                <w:szCs w:val="18"/>
              </w:rPr>
              <w:t>Por diseño (AWS Irlanda + Fráncfort)</w:t>
            </w:r>
          </w:p>
        </w:tc>
      </w:tr>
    </w:tbl>
    <w:p w14:paraId="7E489EBC" w14:textId="77777777" w:rsidR="008951F6" w:rsidRDefault="008951F6">
      <w:pPr>
        <w:spacing w:before="180"/>
      </w:pPr>
    </w:p>
    <w:p w14:paraId="42FE7CEC" w14:textId="77777777" w:rsidR="008951F6" w:rsidRDefault="008951F6">
      <w:pPr>
        <w:pBdr>
          <w:bottom w:val="single" w:sz="1" w:space="1" w:color="D3D1C7"/>
        </w:pBdr>
        <w:spacing w:before="200" w:after="240"/>
      </w:pPr>
    </w:p>
    <w:p w14:paraId="380B2F7E" w14:textId="77777777" w:rsidR="008951F6" w:rsidRDefault="00C461D0">
      <w:pPr>
        <w:spacing w:after="120"/>
      </w:pPr>
      <w:r>
        <w:rPr>
          <w:rFonts w:ascii="Arial" w:hAnsi="Arial" w:cs="Arial"/>
          <w:color w:val="888888"/>
          <w:sz w:val="16"/>
          <w:szCs w:val="16"/>
        </w:rPr>
        <w:t>IMPLICACIONES ORGANIZATIVAS</w:t>
      </w:r>
    </w:p>
    <w:p w14:paraId="2029D2BC" w14:textId="77777777" w:rsidR="008951F6" w:rsidRDefault="00C461D0">
      <w:pPr>
        <w:spacing w:after="160"/>
      </w:pPr>
      <w:r>
        <w:rPr>
          <w:rFonts w:ascii="Arial" w:hAnsi="Arial" w:cs="Arial"/>
          <w:b/>
          <w:sz w:val="30"/>
          <w:szCs w:val="30"/>
        </w:rPr>
        <w:t>Un proyecto tecnológico con consecuencias profundamente humanas</w:t>
      </w:r>
    </w:p>
    <w:p w14:paraId="7F864797" w14:textId="77777777" w:rsidR="008951F6" w:rsidRDefault="00C461D0">
      <w:pPr>
        <w:spacing w:after="280"/>
        <w:jc w:val="both"/>
      </w:pPr>
      <w:r>
        <w:rPr>
          <w:i/>
          <w:color w:val="555555"/>
        </w:rPr>
        <w:t>Cambiar la plataforma de telefonía afecta a cómo trabajan cada día cerca de 2.000 personas. El proyecto reconoce esto desde el diseño: cada servicio tiene su propio plan de gestión del cambio antes de migrar.</w:t>
      </w:r>
    </w:p>
    <w:tbl>
      <w:tblPr>
        <w:tblW w:w="9026" w:type="dxa"/>
        <w:tblCellMar>
          <w:left w:w="10" w:type="dxa"/>
          <w:right w:w="10" w:type="dxa"/>
        </w:tblCellMar>
        <w:tblLook w:val="0000" w:firstRow="0" w:lastRow="0" w:firstColumn="0" w:lastColumn="0" w:noHBand="0" w:noVBand="0"/>
      </w:tblPr>
      <w:tblGrid>
        <w:gridCol w:w="9026"/>
      </w:tblGrid>
      <w:tr w:rsidR="008951F6" w14:paraId="7B456D2A"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5D756F21" w14:textId="77777777" w:rsidR="008951F6" w:rsidRDefault="00C461D0">
            <w:pPr>
              <w:spacing w:before="100" w:after="60"/>
            </w:pPr>
            <w:r>
              <w:rPr>
                <w:rFonts w:ascii="Arial" w:hAnsi="Arial" w:cs="Arial"/>
                <w:b/>
                <w:sz w:val="20"/>
                <w:szCs w:val="20"/>
              </w:rPr>
              <w:t>Dimensión tecnológica</w:t>
            </w:r>
          </w:p>
          <w:p w14:paraId="7D3527D1" w14:textId="77777777" w:rsidR="008951F6" w:rsidRDefault="00C461D0">
            <w:pPr>
              <w:spacing w:after="100"/>
              <w:jc w:val="both"/>
            </w:pPr>
            <w:r>
              <w:rPr>
                <w:color w:val="555555"/>
                <w:sz w:val="20"/>
                <w:szCs w:val="20"/>
              </w:rPr>
              <w:t xml:space="preserve">La arquitectura resultante es radicalmente más simple que la actual. Un solo proveedor (Genesys Cloud sobre AWS) sustituye a tres (Genesys </w:t>
            </w:r>
            <w:proofErr w:type="spellStart"/>
            <w:r>
              <w:rPr>
                <w:color w:val="555555"/>
                <w:sz w:val="20"/>
                <w:szCs w:val="20"/>
              </w:rPr>
              <w:t>on</w:t>
            </w:r>
            <w:proofErr w:type="spellEnd"/>
            <w:r>
              <w:rPr>
                <w:color w:val="555555"/>
                <w:sz w:val="20"/>
                <w:szCs w:val="20"/>
              </w:rPr>
              <w:t xml:space="preserve">-premise, Avaya, NICE). Los agentes operan desde el navegador sin hardware dedicado. Las integraciones se realizan vía API nativa en la nube, eliminando los conectores propietarios que hoy hacen la plataforma rígida y cara de mantener. La ciberseguridad se refuerza con un </w:t>
            </w:r>
            <w:proofErr w:type="spellStart"/>
            <w:r>
              <w:rPr>
                <w:color w:val="555555"/>
                <w:sz w:val="20"/>
                <w:szCs w:val="20"/>
              </w:rPr>
              <w:t>stream</w:t>
            </w:r>
            <w:proofErr w:type="spellEnd"/>
            <w:r>
              <w:rPr>
                <w:color w:val="555555"/>
                <w:sz w:val="20"/>
                <w:szCs w:val="20"/>
              </w:rPr>
              <w:t xml:space="preserve"> dedicado desde el inicio del proyecto.</w:t>
            </w:r>
          </w:p>
        </w:tc>
      </w:tr>
    </w:tbl>
    <w:p w14:paraId="3179E85C" w14:textId="77777777" w:rsidR="008951F6" w:rsidRDefault="008951F6">
      <w:pPr>
        <w:spacing w:before="80"/>
      </w:pPr>
    </w:p>
    <w:tbl>
      <w:tblPr>
        <w:tblW w:w="9026" w:type="dxa"/>
        <w:tblCellMar>
          <w:left w:w="10" w:type="dxa"/>
          <w:right w:w="10" w:type="dxa"/>
        </w:tblCellMar>
        <w:tblLook w:val="0000" w:firstRow="0" w:lastRow="0" w:firstColumn="0" w:lastColumn="0" w:noHBand="0" w:noVBand="0"/>
      </w:tblPr>
      <w:tblGrid>
        <w:gridCol w:w="9026"/>
      </w:tblGrid>
      <w:tr w:rsidR="008951F6" w14:paraId="77139656"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2CD3CDE4" w14:textId="77777777" w:rsidR="008951F6" w:rsidRDefault="00C461D0">
            <w:pPr>
              <w:spacing w:before="100" w:after="60"/>
            </w:pPr>
            <w:r>
              <w:rPr>
                <w:rFonts w:ascii="Arial" w:hAnsi="Arial" w:cs="Arial"/>
                <w:b/>
                <w:sz w:val="20"/>
                <w:szCs w:val="20"/>
              </w:rPr>
              <w:t>Dimensión operacional</w:t>
            </w:r>
          </w:p>
          <w:p w14:paraId="548E6DB5" w14:textId="0D22DB4C" w:rsidR="008951F6" w:rsidRDefault="00C461D0">
            <w:pPr>
              <w:spacing w:after="100"/>
              <w:jc w:val="both"/>
            </w:pPr>
            <w:r>
              <w:rPr>
                <w:color w:val="555555"/>
                <w:sz w:val="20"/>
                <w:szCs w:val="20"/>
              </w:rPr>
              <w:t>El rediseño de la experiencia en el canal telefónico es tan importante como la migración técnica. El equipo de Transformación lidera el diseño de los nuevos flujos de atención: árboles IVR rediseñados desde la lógica del cliente, pregunta abierta que sustituye a menús de opciones, y estructuras de colas optimizadas. Cada uno de los 13 servicios tiene una fase de diseño explícita antes de la configuración, garantizando que no se migra lo que existía, sino lo que debería existir.</w:t>
            </w:r>
          </w:p>
        </w:tc>
      </w:tr>
    </w:tbl>
    <w:p w14:paraId="457B5C6D" w14:textId="77777777" w:rsidR="008951F6" w:rsidRDefault="008951F6">
      <w:pPr>
        <w:spacing w:before="80"/>
      </w:pPr>
    </w:p>
    <w:tbl>
      <w:tblPr>
        <w:tblW w:w="9026" w:type="dxa"/>
        <w:tblCellMar>
          <w:left w:w="10" w:type="dxa"/>
          <w:right w:w="10" w:type="dxa"/>
        </w:tblCellMar>
        <w:tblLook w:val="0000" w:firstRow="0" w:lastRow="0" w:firstColumn="0" w:lastColumn="0" w:noHBand="0" w:noVBand="0"/>
      </w:tblPr>
      <w:tblGrid>
        <w:gridCol w:w="9026"/>
      </w:tblGrid>
      <w:tr w:rsidR="008951F6" w14:paraId="61B4353D"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28958CC1" w14:textId="77777777" w:rsidR="008951F6" w:rsidRDefault="00C461D0">
            <w:pPr>
              <w:spacing w:before="100" w:after="60"/>
            </w:pPr>
            <w:r>
              <w:rPr>
                <w:rFonts w:ascii="Arial" w:hAnsi="Arial" w:cs="Arial"/>
                <w:b/>
                <w:sz w:val="20"/>
                <w:szCs w:val="20"/>
              </w:rPr>
              <w:t>Dimensión de personas</w:t>
            </w:r>
          </w:p>
          <w:p w14:paraId="0C4582B6" w14:textId="77777777" w:rsidR="008951F6" w:rsidRDefault="00C461D0">
            <w:pPr>
              <w:spacing w:after="100"/>
              <w:jc w:val="both"/>
            </w:pPr>
            <w:r>
              <w:rPr>
                <w:color w:val="555555"/>
                <w:sz w:val="20"/>
                <w:szCs w:val="20"/>
              </w:rPr>
              <w:t xml:space="preserve">Cerca de 2.000 operadores cambian su herramienta principal de trabajo. El paso a </w:t>
            </w:r>
            <w:proofErr w:type="spellStart"/>
            <w:r>
              <w:rPr>
                <w:color w:val="555555"/>
                <w:sz w:val="20"/>
                <w:szCs w:val="20"/>
              </w:rPr>
              <w:t>WebRTC</w:t>
            </w:r>
            <w:proofErr w:type="spellEnd"/>
            <w:r>
              <w:rPr>
                <w:color w:val="555555"/>
                <w:sz w:val="20"/>
                <w:szCs w:val="20"/>
              </w:rPr>
              <w:t xml:space="preserve"> elimina el teléfono físico y requiere formación en la nueva consola CTI. Además, la integración con el CRM cambia cómo el agente accede a la información del cliente durante la llamada. El área de Personas acompaña esta transición con planes de formación específicos por servicio y, a medio plazo, gestiona las implicaciones organizativas de una operación que progresivamente delegará los casos más simples a agentes de IA.</w:t>
            </w:r>
          </w:p>
        </w:tc>
      </w:tr>
    </w:tbl>
    <w:p w14:paraId="596B5D0B" w14:textId="77777777" w:rsidR="008951F6" w:rsidRDefault="008951F6">
      <w:pPr>
        <w:spacing w:before="80"/>
      </w:pPr>
    </w:p>
    <w:tbl>
      <w:tblPr>
        <w:tblW w:w="9026" w:type="dxa"/>
        <w:tblCellMar>
          <w:left w:w="10" w:type="dxa"/>
          <w:right w:w="10" w:type="dxa"/>
        </w:tblCellMar>
        <w:tblLook w:val="0000" w:firstRow="0" w:lastRow="0" w:firstColumn="0" w:lastColumn="0" w:noHBand="0" w:noVBand="0"/>
      </w:tblPr>
      <w:tblGrid>
        <w:gridCol w:w="9026"/>
      </w:tblGrid>
      <w:tr w:rsidR="008951F6" w14:paraId="760717E8"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06DD60D1" w14:textId="77777777" w:rsidR="008951F6" w:rsidRDefault="00C461D0">
            <w:pPr>
              <w:spacing w:before="100" w:after="60"/>
            </w:pPr>
            <w:r>
              <w:rPr>
                <w:rFonts w:ascii="Arial" w:hAnsi="Arial" w:cs="Arial"/>
                <w:b/>
                <w:sz w:val="20"/>
                <w:szCs w:val="20"/>
              </w:rPr>
              <w:t>Dimensión analítica</w:t>
            </w:r>
          </w:p>
          <w:p w14:paraId="75D7E207" w14:textId="77777777" w:rsidR="008951F6" w:rsidRDefault="00C461D0">
            <w:pPr>
              <w:spacing w:after="100"/>
              <w:jc w:val="both"/>
            </w:pPr>
            <w:r>
              <w:rPr>
                <w:color w:val="555555"/>
                <w:sz w:val="20"/>
                <w:szCs w:val="20"/>
              </w:rPr>
              <w:t xml:space="preserve">Por primera vez, la compañía tendrá datos unificados de todas sus interacciones telefónicas, incluyendo las gestionadas por CC externos. Genesys Cloud exporta datos a los sistemas BI de Línea Directa, con un proceso de definición y extracción de </w:t>
            </w:r>
            <w:proofErr w:type="spellStart"/>
            <w:r>
              <w:rPr>
                <w:color w:val="555555"/>
                <w:sz w:val="20"/>
                <w:szCs w:val="20"/>
              </w:rPr>
              <w:t>KPIs</w:t>
            </w:r>
            <w:proofErr w:type="spellEnd"/>
            <w:r>
              <w:rPr>
                <w:color w:val="555555"/>
                <w:sz w:val="20"/>
                <w:szCs w:val="20"/>
              </w:rPr>
              <w:t xml:space="preserve"> diseñado servicio a servicio durante la migración. Esto alimentará los modelos de análisis de calidad, los cuadros de mando de operaciones y, a futuro, los modelos de IA que necesitarán datos de llamadas etiquetados y de calidad certificada.</w:t>
            </w:r>
          </w:p>
        </w:tc>
      </w:tr>
    </w:tbl>
    <w:p w14:paraId="092D18BE" w14:textId="77777777" w:rsidR="008951F6" w:rsidRDefault="008951F6">
      <w:pPr>
        <w:spacing w:before="80"/>
      </w:pPr>
    </w:p>
    <w:p w14:paraId="221AF56F" w14:textId="77777777" w:rsidR="008951F6" w:rsidRDefault="008951F6">
      <w:pPr>
        <w:pBdr>
          <w:top w:val="single" w:sz="1" w:space="1" w:color="D3D1C7"/>
        </w:pBdr>
        <w:spacing w:before="240"/>
      </w:pPr>
    </w:p>
    <w:p w14:paraId="7F4676F1" w14:textId="77777777" w:rsidR="008951F6" w:rsidRDefault="00C461D0">
      <w:pPr>
        <w:spacing w:before="200" w:after="160"/>
      </w:pPr>
      <w:r>
        <w:rPr>
          <w:rFonts w:ascii="Arial" w:hAnsi="Arial" w:cs="Arial"/>
          <w:b/>
          <w:sz w:val="24"/>
          <w:szCs w:val="24"/>
        </w:rPr>
        <w:t>Áreas implicadas y misión en el proyecto</w:t>
      </w:r>
    </w:p>
    <w:tbl>
      <w:tblPr>
        <w:tblW w:w="9026" w:type="dxa"/>
        <w:tblCellMar>
          <w:left w:w="10" w:type="dxa"/>
          <w:right w:w="10" w:type="dxa"/>
        </w:tblCellMar>
        <w:tblLook w:val="0000" w:firstRow="0" w:lastRow="0" w:firstColumn="0" w:lastColumn="0" w:noHBand="0" w:noVBand="0"/>
      </w:tblPr>
      <w:tblGrid>
        <w:gridCol w:w="2800"/>
        <w:gridCol w:w="6226"/>
      </w:tblGrid>
      <w:tr w:rsidR="008951F6" w14:paraId="74395C75" w14:textId="77777777">
        <w:trPr>
          <w:tblHeader/>
        </w:trPr>
        <w:tc>
          <w:tcPr>
            <w:tcW w:w="2800" w:type="dxa"/>
            <w:shd w:val="clear" w:color="auto" w:fill="3D3D3B"/>
            <w:tcMar>
              <w:top w:w="80" w:type="dxa"/>
              <w:left w:w="140" w:type="dxa"/>
              <w:bottom w:w="80" w:type="dxa"/>
              <w:right w:w="100" w:type="dxa"/>
            </w:tcMar>
          </w:tcPr>
          <w:p w14:paraId="4D4DF0AA" w14:textId="77777777" w:rsidR="008951F6" w:rsidRDefault="00C461D0">
            <w:pPr>
              <w:spacing w:before="80" w:after="80"/>
            </w:pPr>
            <w:r>
              <w:rPr>
                <w:rFonts w:ascii="Arial" w:hAnsi="Arial" w:cs="Arial"/>
                <w:b/>
                <w:color w:val="FFFFFF"/>
                <w:sz w:val="18"/>
                <w:szCs w:val="18"/>
              </w:rPr>
              <w:t>Área implicada</w:t>
            </w:r>
          </w:p>
        </w:tc>
        <w:tc>
          <w:tcPr>
            <w:tcW w:w="6226" w:type="dxa"/>
            <w:shd w:val="clear" w:color="auto" w:fill="3D3D3B"/>
            <w:tcMar>
              <w:top w:w="80" w:type="dxa"/>
              <w:left w:w="140" w:type="dxa"/>
              <w:bottom w:w="80" w:type="dxa"/>
              <w:right w:w="100" w:type="dxa"/>
            </w:tcMar>
          </w:tcPr>
          <w:p w14:paraId="42168000" w14:textId="77777777" w:rsidR="008951F6" w:rsidRDefault="00C461D0">
            <w:pPr>
              <w:spacing w:before="80" w:after="80"/>
            </w:pPr>
            <w:r>
              <w:rPr>
                <w:rFonts w:ascii="Arial" w:hAnsi="Arial" w:cs="Arial"/>
                <w:b/>
                <w:color w:val="FFFFFF"/>
                <w:sz w:val="18"/>
                <w:szCs w:val="18"/>
              </w:rPr>
              <w:t>Misión en el proyecto</w:t>
            </w:r>
          </w:p>
        </w:tc>
      </w:tr>
      <w:tr w:rsidR="008951F6" w14:paraId="7D22CBC3" w14:textId="77777777">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79CFA40" w14:textId="77777777" w:rsidR="008951F6" w:rsidRDefault="00C461D0">
            <w:pPr>
              <w:spacing w:before="80" w:after="60"/>
            </w:pPr>
            <w:r>
              <w:rPr>
                <w:rFonts w:ascii="Arial" w:hAnsi="Arial" w:cs="Arial"/>
                <w:b/>
                <w:sz w:val="19"/>
                <w:szCs w:val="19"/>
              </w:rPr>
              <w:t>Tecnología</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C394BEE" w14:textId="77777777" w:rsidR="008951F6" w:rsidRDefault="00C461D0">
            <w:pPr>
              <w:spacing w:before="80" w:after="80"/>
              <w:jc w:val="both"/>
            </w:pPr>
            <w:r>
              <w:rPr>
                <w:color w:val="555555"/>
                <w:sz w:val="19"/>
                <w:szCs w:val="19"/>
              </w:rPr>
              <w:t xml:space="preserve">Responsable de la migración tecnológica a Genesys Cloud: infraestructura, comunicaciones, ciberseguridad, integraciones con sistemas LDA y exportación de datos a BI. Lidera la relación con </w:t>
            </w:r>
            <w:proofErr w:type="spellStart"/>
            <w:r>
              <w:rPr>
                <w:color w:val="555555"/>
                <w:sz w:val="19"/>
                <w:szCs w:val="19"/>
              </w:rPr>
              <w:t>Minsait</w:t>
            </w:r>
            <w:proofErr w:type="spellEnd"/>
            <w:r>
              <w:rPr>
                <w:color w:val="555555"/>
                <w:sz w:val="19"/>
                <w:szCs w:val="19"/>
              </w:rPr>
              <w:t xml:space="preserve"> como integrador.</w:t>
            </w:r>
          </w:p>
        </w:tc>
      </w:tr>
      <w:tr w:rsidR="008951F6" w14:paraId="79987AE2" w14:textId="77777777">
        <w:tc>
          <w:tcPr>
            <w:tcW w:w="2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AF00408" w14:textId="77777777" w:rsidR="008951F6" w:rsidRDefault="00C461D0">
            <w:pPr>
              <w:spacing w:before="80" w:after="60"/>
            </w:pPr>
            <w:r>
              <w:rPr>
                <w:rFonts w:ascii="Arial" w:hAnsi="Arial" w:cs="Arial"/>
                <w:b/>
                <w:sz w:val="19"/>
                <w:szCs w:val="19"/>
              </w:rPr>
              <w:t>Transformación</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4D77B0D" w14:textId="77777777" w:rsidR="008951F6" w:rsidRDefault="00C461D0">
            <w:pPr>
              <w:spacing w:before="80" w:after="80"/>
              <w:jc w:val="both"/>
            </w:pPr>
            <w:r>
              <w:rPr>
                <w:color w:val="555555"/>
                <w:sz w:val="19"/>
                <w:szCs w:val="19"/>
              </w:rPr>
              <w:t>Responsable del rediseño de la experiencia en el canal telefónico: diseño de los nuevos flujos IVR, pregunta abierta, estructura de colas y scripts de atención orientados a la excelencia operativa y la experiencia de cliente.</w:t>
            </w:r>
          </w:p>
        </w:tc>
      </w:tr>
      <w:tr w:rsidR="008951F6" w14:paraId="50B43375" w14:textId="77777777">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9AF3625" w14:textId="77777777" w:rsidR="008951F6" w:rsidRDefault="00C461D0">
            <w:pPr>
              <w:spacing w:before="80" w:after="60"/>
            </w:pPr>
            <w:r>
              <w:rPr>
                <w:rFonts w:ascii="Arial" w:hAnsi="Arial" w:cs="Arial"/>
                <w:b/>
                <w:sz w:val="19"/>
                <w:szCs w:val="19"/>
              </w:rPr>
              <w:t xml:space="preserve">Negocio (todas las áreas con </w:t>
            </w:r>
            <w:proofErr w:type="spellStart"/>
            <w:r>
              <w:rPr>
                <w:rFonts w:ascii="Arial" w:hAnsi="Arial" w:cs="Arial"/>
                <w:b/>
                <w:sz w:val="19"/>
                <w:szCs w:val="19"/>
              </w:rPr>
              <w:t>contact</w:t>
            </w:r>
            <w:proofErr w:type="spellEnd"/>
            <w:r>
              <w:rPr>
                <w:rFonts w:ascii="Arial" w:hAnsi="Arial" w:cs="Arial"/>
                <w:b/>
                <w:sz w:val="19"/>
                <w:szCs w:val="19"/>
              </w:rPr>
              <w:t xml:space="preserve"> center)</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1BD2800" w14:textId="77777777" w:rsidR="008951F6" w:rsidRDefault="00C461D0">
            <w:pPr>
              <w:spacing w:before="80" w:after="80"/>
              <w:jc w:val="both"/>
            </w:pPr>
            <w:r>
              <w:rPr>
                <w:color w:val="555555"/>
                <w:sz w:val="19"/>
                <w:szCs w:val="19"/>
              </w:rPr>
              <w:t>Principal colectivo impactado por el cambio de herramienta y de modelo de atención. Valida los diseños de cada servicio, participa en las pruebas y es responsable de la adopción en su equipo tras el paso a producción.</w:t>
            </w:r>
          </w:p>
        </w:tc>
      </w:tr>
      <w:tr w:rsidR="008951F6" w14:paraId="1844A796" w14:textId="77777777">
        <w:tc>
          <w:tcPr>
            <w:tcW w:w="2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C26F6D5" w14:textId="77777777" w:rsidR="008951F6" w:rsidRDefault="00C461D0">
            <w:pPr>
              <w:spacing w:before="80" w:after="60"/>
            </w:pPr>
            <w:r>
              <w:rPr>
                <w:rFonts w:ascii="Arial" w:hAnsi="Arial" w:cs="Arial"/>
                <w:b/>
                <w:sz w:val="19"/>
                <w:szCs w:val="19"/>
              </w:rPr>
              <w:t>Personas</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DD8265D" w14:textId="77777777" w:rsidR="008951F6" w:rsidRDefault="00C461D0">
            <w:pPr>
              <w:spacing w:before="80" w:after="80"/>
              <w:jc w:val="both"/>
            </w:pPr>
            <w:r>
              <w:rPr>
                <w:color w:val="555555"/>
                <w:sz w:val="19"/>
                <w:szCs w:val="19"/>
              </w:rPr>
              <w:t>Responsable del acompañamiento a los ~2.000 operadores en la transición: diseño e impartición de los planes de formación por servicio, gestión del cambio cultural y análisis de las implicaciones organizativas a medio plazo derivadas de la incorporación de IA conversacional.</w:t>
            </w:r>
          </w:p>
        </w:tc>
      </w:tr>
    </w:tbl>
    <w:p w14:paraId="1CDDEB41" w14:textId="77777777" w:rsidR="008951F6" w:rsidRDefault="008951F6">
      <w:pPr>
        <w:spacing w:before="100" w:after="100"/>
      </w:pPr>
    </w:p>
    <w:p w14:paraId="0896D437" w14:textId="77777777" w:rsidR="008951F6" w:rsidRDefault="008951F6">
      <w:pPr>
        <w:pBdr>
          <w:bottom w:val="single" w:sz="1" w:space="1" w:color="D3D1C7"/>
        </w:pBdr>
        <w:spacing w:before="200" w:after="240"/>
      </w:pPr>
    </w:p>
    <w:p w14:paraId="1D57ECEB" w14:textId="77777777" w:rsidR="008951F6" w:rsidRDefault="00C461D0">
      <w:pPr>
        <w:spacing w:after="120"/>
      </w:pPr>
      <w:r>
        <w:rPr>
          <w:rFonts w:ascii="Arial" w:hAnsi="Arial" w:cs="Arial"/>
          <w:color w:val="888888"/>
          <w:sz w:val="16"/>
          <w:szCs w:val="16"/>
        </w:rPr>
        <w:t>PROYECTOS INTERDEPENDIENTES</w:t>
      </w:r>
    </w:p>
    <w:p w14:paraId="5128A9EB" w14:textId="77777777" w:rsidR="008951F6" w:rsidRDefault="00C461D0">
      <w:pPr>
        <w:spacing w:after="160"/>
      </w:pPr>
      <w:r>
        <w:rPr>
          <w:rFonts w:ascii="Arial" w:hAnsi="Arial" w:cs="Arial"/>
          <w:b/>
          <w:sz w:val="30"/>
          <w:szCs w:val="30"/>
        </w:rPr>
        <w:t>Este proyecto es infraestructura estratégica para toda la agenda de transformación</w:t>
      </w:r>
    </w:p>
    <w:p w14:paraId="200B7F34" w14:textId="77777777" w:rsidR="008951F6" w:rsidRDefault="00C461D0">
      <w:pPr>
        <w:spacing w:after="280"/>
        <w:jc w:val="both"/>
      </w:pPr>
      <w:r>
        <w:rPr>
          <w:i/>
          <w:color w:val="555555"/>
        </w:rPr>
        <w:lastRenderedPageBreak/>
        <w:t xml:space="preserve">La nueva plataforma de </w:t>
      </w:r>
      <w:proofErr w:type="spellStart"/>
      <w:r>
        <w:rPr>
          <w:i/>
          <w:color w:val="555555"/>
        </w:rPr>
        <w:t>contact</w:t>
      </w:r>
      <w:proofErr w:type="spellEnd"/>
      <w:r>
        <w:rPr>
          <w:i/>
          <w:color w:val="555555"/>
        </w:rPr>
        <w:t xml:space="preserve"> center no es un proyecto aislado. Es la capa sobre la que se despliegan la experiencia de cliente, la inteligencia artificial en voz y la visibilidad de datos que otros proyectos necesitan.</w:t>
      </w:r>
    </w:p>
    <w:tbl>
      <w:tblPr>
        <w:tblW w:w="9026" w:type="dxa"/>
        <w:tblCellMar>
          <w:left w:w="10" w:type="dxa"/>
          <w:right w:w="10" w:type="dxa"/>
        </w:tblCellMar>
        <w:tblLook w:val="0000" w:firstRow="0" w:lastRow="0" w:firstColumn="0" w:lastColumn="0" w:noHBand="0" w:noVBand="0"/>
      </w:tblPr>
      <w:tblGrid>
        <w:gridCol w:w="9026"/>
      </w:tblGrid>
      <w:tr w:rsidR="008951F6" w14:paraId="73675EEE" w14:textId="77777777">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20" w:type="dxa"/>
              <w:left w:w="200" w:type="dxa"/>
              <w:bottom w:w="120" w:type="dxa"/>
              <w:right w:w="140" w:type="dxa"/>
            </w:tcMar>
          </w:tcPr>
          <w:p w14:paraId="741BB7C4" w14:textId="77777777" w:rsidR="008951F6" w:rsidRDefault="00C461D0">
            <w:pPr>
              <w:spacing w:before="80" w:after="60"/>
            </w:pPr>
            <w:r>
              <w:rPr>
                <w:rFonts w:ascii="Arial" w:hAnsi="Arial" w:cs="Arial"/>
                <w:b/>
                <w:sz w:val="20"/>
                <w:szCs w:val="20"/>
              </w:rPr>
              <w:t>CRM / Salesforce</w:t>
            </w:r>
          </w:p>
          <w:p w14:paraId="6665DE26" w14:textId="77777777" w:rsidR="008951F6" w:rsidRDefault="00C461D0">
            <w:pPr>
              <w:spacing w:after="60"/>
            </w:pPr>
            <w:r>
              <w:rPr>
                <w:rFonts w:ascii="Arial" w:hAnsi="Arial" w:cs="Arial"/>
                <w:color w:val="BE2A2A"/>
                <w:sz w:val="17"/>
                <w:szCs w:val="17"/>
              </w:rPr>
              <w:t>Dependencia: Alta — bidireccional</w:t>
            </w:r>
          </w:p>
          <w:p w14:paraId="6D08530F" w14:textId="77777777" w:rsidR="008951F6" w:rsidRDefault="00C461D0">
            <w:pPr>
              <w:spacing w:after="100"/>
              <w:jc w:val="both"/>
            </w:pPr>
            <w:r>
              <w:rPr>
                <w:color w:val="555555"/>
                <w:sz w:val="20"/>
                <w:szCs w:val="20"/>
              </w:rPr>
              <w:t>La integración entre Genesys Cloud y Salesforce es uno de los hitos clave del proyecto: la transcripción en tiempo real de la llamada dentro de la ficha del cliente en el CRM es lo que convierte al agente en alguien que ‘ya sabe’ antes de que el cliente termine de hablar. Sin la nueva plataforma de telefonía, el CRM no puede cumplir su promesa de visión 360 en el canal de voz. Y sin el CRM, la nueva telefonía pierde parte de su potencial de personalización.</w:t>
            </w:r>
          </w:p>
        </w:tc>
      </w:tr>
    </w:tbl>
    <w:p w14:paraId="5FB1D3A9" w14:textId="77777777" w:rsidR="008951F6" w:rsidRDefault="008951F6">
      <w:pPr>
        <w:spacing w:before="80"/>
      </w:pPr>
    </w:p>
    <w:tbl>
      <w:tblPr>
        <w:tblW w:w="9026" w:type="dxa"/>
        <w:tblCellMar>
          <w:left w:w="10" w:type="dxa"/>
          <w:right w:w="10" w:type="dxa"/>
        </w:tblCellMar>
        <w:tblLook w:val="0000" w:firstRow="0" w:lastRow="0" w:firstColumn="0" w:lastColumn="0" w:noHBand="0" w:noVBand="0"/>
      </w:tblPr>
      <w:tblGrid>
        <w:gridCol w:w="9026"/>
      </w:tblGrid>
      <w:tr w:rsidR="008951F6" w14:paraId="32220687" w14:textId="77777777">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20" w:type="dxa"/>
              <w:left w:w="200" w:type="dxa"/>
              <w:bottom w:w="120" w:type="dxa"/>
              <w:right w:w="140" w:type="dxa"/>
            </w:tcMar>
          </w:tcPr>
          <w:p w14:paraId="4411D655" w14:textId="77777777" w:rsidR="008951F6" w:rsidRDefault="00C461D0">
            <w:pPr>
              <w:spacing w:before="80" w:after="60"/>
            </w:pPr>
            <w:r>
              <w:rPr>
                <w:rFonts w:ascii="Arial" w:hAnsi="Arial" w:cs="Arial"/>
                <w:b/>
                <w:sz w:val="20"/>
                <w:szCs w:val="20"/>
              </w:rPr>
              <w:t>IA en voz y chat</w:t>
            </w:r>
          </w:p>
          <w:p w14:paraId="7B584FD8" w14:textId="77777777" w:rsidR="008951F6" w:rsidRDefault="00C461D0">
            <w:pPr>
              <w:spacing w:after="60"/>
            </w:pPr>
            <w:r>
              <w:rPr>
                <w:rFonts w:ascii="Arial" w:hAnsi="Arial" w:cs="Arial"/>
                <w:color w:val="BE2A2A"/>
                <w:sz w:val="17"/>
                <w:szCs w:val="17"/>
              </w:rPr>
              <w:t>Dependencia: Alta</w:t>
            </w:r>
          </w:p>
          <w:p w14:paraId="05FC10ED" w14:textId="77777777" w:rsidR="008951F6" w:rsidRDefault="00C461D0">
            <w:pPr>
              <w:spacing w:after="100"/>
              <w:jc w:val="both"/>
            </w:pPr>
            <w:r>
              <w:rPr>
                <w:color w:val="555555"/>
                <w:sz w:val="20"/>
                <w:szCs w:val="20"/>
              </w:rPr>
              <w:t xml:space="preserve">Genesys Cloud es la infraestructura que hace posible desplegar agentes conversacionales de IA sobre el canal de voz. La arquitectura </w:t>
            </w:r>
            <w:proofErr w:type="spellStart"/>
            <w:r>
              <w:rPr>
                <w:color w:val="555555"/>
                <w:sz w:val="20"/>
                <w:szCs w:val="20"/>
              </w:rPr>
              <w:t>CCaaS</w:t>
            </w:r>
            <w:proofErr w:type="spellEnd"/>
            <w:r>
              <w:rPr>
                <w:color w:val="555555"/>
                <w:sz w:val="20"/>
                <w:szCs w:val="20"/>
              </w:rPr>
              <w:t xml:space="preserve"> tiene las </w:t>
            </w:r>
            <w:proofErr w:type="spellStart"/>
            <w:r>
              <w:rPr>
                <w:color w:val="555555"/>
                <w:sz w:val="20"/>
                <w:szCs w:val="20"/>
              </w:rPr>
              <w:t>APIs</w:t>
            </w:r>
            <w:proofErr w:type="spellEnd"/>
            <w:r>
              <w:rPr>
                <w:color w:val="555555"/>
                <w:sz w:val="20"/>
                <w:szCs w:val="20"/>
              </w:rPr>
              <w:t xml:space="preserve"> nativas necesarias para conectar modelos de lenguaje y motores de voz (STT/TTS) que gestionen casos de forma autónoma. El proyecto de IA en voz y chat diseña los agentes; este proyecto construye el canal sobre el que esos agentes operan. Ambos deben ejecutarse de forma coordinada para que los primeros casos de uso de IA en voz estén disponibles en cuanto los servicios clave hayan migrado.</w:t>
            </w:r>
          </w:p>
        </w:tc>
      </w:tr>
    </w:tbl>
    <w:p w14:paraId="5E6125E2" w14:textId="77777777" w:rsidR="008951F6" w:rsidRDefault="008951F6">
      <w:pPr>
        <w:spacing w:before="80"/>
      </w:pPr>
    </w:p>
    <w:tbl>
      <w:tblPr>
        <w:tblW w:w="9026" w:type="dxa"/>
        <w:tblCellMar>
          <w:left w:w="10" w:type="dxa"/>
          <w:right w:w="10" w:type="dxa"/>
        </w:tblCellMar>
        <w:tblLook w:val="0000" w:firstRow="0" w:lastRow="0" w:firstColumn="0" w:lastColumn="0" w:noHBand="0" w:noVBand="0"/>
      </w:tblPr>
      <w:tblGrid>
        <w:gridCol w:w="9026"/>
      </w:tblGrid>
      <w:tr w:rsidR="008951F6" w14:paraId="47BF4367" w14:textId="77777777">
        <w:tc>
          <w:tcPr>
            <w:tcW w:w="9026" w:type="dxa"/>
            <w:tcBorders>
              <w:top w:val="single" w:sz="4" w:space="0" w:color="8B6914"/>
              <w:left w:val="single" w:sz="18" w:space="0" w:color="8B6914"/>
              <w:bottom w:val="single" w:sz="4" w:space="0" w:color="8B6914"/>
              <w:right w:val="single" w:sz="4" w:space="0" w:color="8B6914"/>
            </w:tcBorders>
            <w:shd w:val="clear" w:color="auto" w:fill="FFFFFF"/>
            <w:tcMar>
              <w:top w:w="120" w:type="dxa"/>
              <w:left w:w="200" w:type="dxa"/>
              <w:bottom w:w="120" w:type="dxa"/>
              <w:right w:w="140" w:type="dxa"/>
            </w:tcMar>
          </w:tcPr>
          <w:p w14:paraId="4FF73BD2" w14:textId="77777777" w:rsidR="008951F6" w:rsidRDefault="00C461D0">
            <w:pPr>
              <w:spacing w:before="80" w:after="60"/>
            </w:pPr>
            <w:r>
              <w:rPr>
                <w:rFonts w:ascii="Arial" w:hAnsi="Arial" w:cs="Arial"/>
                <w:b/>
                <w:sz w:val="20"/>
                <w:szCs w:val="20"/>
              </w:rPr>
              <w:t>Gobierno del dato</w:t>
            </w:r>
          </w:p>
          <w:p w14:paraId="5ABED6A2" w14:textId="77777777" w:rsidR="008951F6" w:rsidRDefault="00C461D0">
            <w:pPr>
              <w:spacing w:after="60"/>
            </w:pPr>
            <w:r>
              <w:rPr>
                <w:rFonts w:ascii="Arial" w:hAnsi="Arial" w:cs="Arial"/>
                <w:color w:val="8B6914"/>
                <w:sz w:val="17"/>
                <w:szCs w:val="17"/>
              </w:rPr>
              <w:t>Dependencia: Media</w:t>
            </w:r>
          </w:p>
          <w:p w14:paraId="663CDB8B" w14:textId="77777777" w:rsidR="008951F6" w:rsidRDefault="00C461D0">
            <w:pPr>
              <w:spacing w:after="100"/>
              <w:jc w:val="both"/>
            </w:pPr>
            <w:r>
              <w:rPr>
                <w:color w:val="555555"/>
                <w:sz w:val="20"/>
                <w:szCs w:val="20"/>
              </w:rPr>
              <w:t xml:space="preserve">La nueva plataforma genera por primera vez datos unificados de toda la operación telefónica, incluidos los CC externos. Esos datos —transcripciones, métricas de interacción, tiempos de resolución— son un activo nuevo que necesita ser gobernado: dominios de datos de Telefonía y Canales definidos, Data </w:t>
            </w:r>
            <w:proofErr w:type="spellStart"/>
            <w:r>
              <w:rPr>
                <w:color w:val="555555"/>
                <w:sz w:val="20"/>
                <w:szCs w:val="20"/>
              </w:rPr>
              <w:t>Owners</w:t>
            </w:r>
            <w:proofErr w:type="spellEnd"/>
            <w:r>
              <w:rPr>
                <w:color w:val="555555"/>
                <w:sz w:val="20"/>
                <w:szCs w:val="20"/>
              </w:rPr>
              <w:t xml:space="preserve"> asignados, reglas de calidad establecidas. El Proyecto de Gobierno del Dato deberá anticipar este nuevo flujo de información en su </w:t>
            </w:r>
            <w:proofErr w:type="spellStart"/>
            <w:r>
              <w:rPr>
                <w:color w:val="555555"/>
                <w:sz w:val="20"/>
                <w:szCs w:val="20"/>
              </w:rPr>
              <w:t>roadmap</w:t>
            </w:r>
            <w:proofErr w:type="spellEnd"/>
            <w:r>
              <w:rPr>
                <w:color w:val="555555"/>
                <w:sz w:val="20"/>
                <w:szCs w:val="20"/>
              </w:rPr>
              <w:t xml:space="preserve"> de dominios para 2026.</w:t>
            </w:r>
          </w:p>
        </w:tc>
      </w:tr>
    </w:tbl>
    <w:p w14:paraId="0F89B371" w14:textId="77777777" w:rsidR="008951F6" w:rsidRDefault="008951F6">
      <w:pPr>
        <w:spacing w:before="80"/>
      </w:pPr>
    </w:p>
    <w:p w14:paraId="30B5B48B" w14:textId="77777777" w:rsidR="008951F6" w:rsidRDefault="008951F6">
      <w:pPr>
        <w:spacing w:before="200" w:after="80"/>
      </w:pPr>
    </w:p>
    <w:p w14:paraId="45DBFEB4" w14:textId="77777777" w:rsidR="008951F6" w:rsidRDefault="00C461D0">
      <w:pPr>
        <w:spacing w:after="120"/>
        <w:jc w:val="both"/>
        <w:rPr>
          <w:i/>
          <w:color w:val="888888"/>
          <w:sz w:val="19"/>
          <w:szCs w:val="19"/>
        </w:rPr>
      </w:pPr>
      <w:r>
        <w:rPr>
          <w:i/>
          <w:color w:val="888888"/>
          <w:sz w:val="19"/>
          <w:szCs w:val="19"/>
        </w:rPr>
        <w:t xml:space="preserve">Esta lista no es exhaustiva. El mapa de dependencias se actualizará conforme avancen los proyectos y se consolide el diseño de la experiencia </w:t>
      </w:r>
      <w:proofErr w:type="spellStart"/>
      <w:r>
        <w:rPr>
          <w:i/>
          <w:color w:val="888888"/>
          <w:sz w:val="19"/>
          <w:szCs w:val="19"/>
        </w:rPr>
        <w:t>omnicanal</w:t>
      </w:r>
      <w:proofErr w:type="spellEnd"/>
      <w:r>
        <w:rPr>
          <w:i/>
          <w:color w:val="888888"/>
          <w:sz w:val="19"/>
          <w:szCs w:val="19"/>
        </w:rPr>
        <w:t>.</w:t>
      </w:r>
    </w:p>
    <w:p w14:paraId="6D14298A" w14:textId="77777777" w:rsidR="00524389" w:rsidRDefault="00524389">
      <w:pPr>
        <w:spacing w:after="120"/>
        <w:jc w:val="both"/>
      </w:pPr>
    </w:p>
    <w:tbl>
      <w:tblPr>
        <w:tblW w:w="9026" w:type="dxa"/>
        <w:tblLook w:val="04A0" w:firstRow="1" w:lastRow="0" w:firstColumn="1" w:lastColumn="0" w:noHBand="0" w:noVBand="1"/>
      </w:tblPr>
      <w:tblGrid>
        <w:gridCol w:w="9026"/>
      </w:tblGrid>
      <w:tr w:rsidR="00524389" w14:paraId="7C62744F" w14:textId="77777777" w:rsidTr="008D2625">
        <w:tc>
          <w:tcPr>
            <w:tcW w:w="9026" w:type="dxa"/>
            <w:tcBorders>
              <w:top w:val="single" w:sz="4" w:space="0" w:color="E0DED8"/>
              <w:left w:val="single" w:sz="18" w:space="0" w:color="8B6914"/>
              <w:bottom w:val="single" w:sz="4" w:space="0" w:color="E0DED8"/>
              <w:right w:val="single" w:sz="4" w:space="0" w:color="E0DED8"/>
            </w:tcBorders>
            <w:shd w:val="clear" w:color="auto" w:fill="FFFFFF"/>
            <w:tcMar>
              <w:top w:w="100" w:type="dxa"/>
              <w:left w:w="200" w:type="dxa"/>
              <w:bottom w:w="100" w:type="dxa"/>
              <w:right w:w="140" w:type="dxa"/>
            </w:tcMar>
          </w:tcPr>
          <w:p w14:paraId="0115A0B1" w14:textId="77777777" w:rsidR="00524389" w:rsidRDefault="00524389" w:rsidP="008D2625">
            <w:pPr>
              <w:spacing w:before="80" w:after="60"/>
            </w:pPr>
            <w:r>
              <w:rPr>
                <w:rFonts w:ascii="Arial" w:hAnsi="Arial" w:cs="Arial"/>
                <w:b/>
                <w:color w:val="8B6914"/>
                <w:sz w:val="20"/>
                <w:szCs w:val="20"/>
              </w:rPr>
              <w:t>Nota sobre la continuidad de datos históricos</w:t>
            </w:r>
          </w:p>
          <w:p w14:paraId="35C25C7A" w14:textId="77777777" w:rsidR="00524389" w:rsidRDefault="00524389" w:rsidP="008D2625">
            <w:pPr>
              <w:spacing w:after="100"/>
              <w:jc w:val="both"/>
            </w:pPr>
            <w:r>
              <w:rPr>
                <w:color w:val="555555"/>
                <w:sz w:val="20"/>
                <w:szCs w:val="20"/>
              </w:rPr>
              <w:t>La migración a Genesys Cloud supone un cambio en la plataforma que genera y almacena los datos de telefonía. Esto implica que parte de los indicadores operativos históricos —tiempos de espera, tasas de abandono, volúmenes por servicio, motivos de llamada— no serán directamente comparables con los que produce la nueva plataforma, tanto por diferencias en la forma de calcularlos como por los cambios en el diseño de los propios servicios. La consecuencia práctica es que, durante los primeros ciclos de seguimiento, la mejora no podrá contrastarse siempre con el histórico previo. El proyecto debe establecer desde el inicio una línea base de referencia con los valores AS-IS de los indicadores clave, medidos y documentados antes del paso a producción de cada servicio, para contar con un punto de comparación válido aunque no sea el histórico acumulado de años anteriores.</w:t>
            </w:r>
          </w:p>
        </w:tc>
      </w:tr>
    </w:tbl>
    <w:p w14:paraId="11A8C702" w14:textId="77777777" w:rsidR="002C2D86" w:rsidRDefault="002C2D86">
      <w:pPr>
        <w:pBdr>
          <w:bottom w:val="single" w:sz="1" w:space="1" w:color="D3D1C7"/>
        </w:pBdr>
        <w:spacing w:before="280" w:after="120"/>
      </w:pPr>
    </w:p>
    <w:p w14:paraId="2942110C" w14:textId="77777777" w:rsidR="008951F6" w:rsidRDefault="00C461D0">
      <w:r>
        <w:rPr>
          <w:rFonts w:ascii="Arial" w:hAnsi="Arial" w:cs="Arial"/>
          <w:color w:val="888888"/>
          <w:sz w:val="16"/>
          <w:szCs w:val="16"/>
        </w:rPr>
        <w:t>Línea Directa Aseguradora · Documento de uso interno · Confidencial</w:t>
      </w:r>
    </w:p>
    <w:sectPr w:rsidR="008951F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7C5E5" w14:textId="77777777" w:rsidR="00775812" w:rsidRDefault="00775812" w:rsidP="00576D5A">
      <w:r>
        <w:separator/>
      </w:r>
    </w:p>
  </w:endnote>
  <w:endnote w:type="continuationSeparator" w:id="0">
    <w:p w14:paraId="10951EB2" w14:textId="77777777" w:rsidR="00775812" w:rsidRDefault="00775812" w:rsidP="00576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2681" w14:textId="012640EF" w:rsidR="00576D5A" w:rsidRDefault="00576D5A">
    <w:pPr>
      <w:pStyle w:val="Piedepgina"/>
    </w:pPr>
    <w:r>
      <w:rPr>
        <w:noProof/>
      </w:rPr>
      <mc:AlternateContent>
        <mc:Choice Requires="wps">
          <w:drawing>
            <wp:anchor distT="0" distB="0" distL="0" distR="0" simplePos="0" relativeHeight="251662336" behindDoc="0" locked="0" layoutInCell="1" allowOverlap="1" wp14:anchorId="3395BE9B" wp14:editId="63C6645F">
              <wp:simplePos x="635" y="635"/>
              <wp:positionH relativeFrom="page">
                <wp:align>center</wp:align>
              </wp:positionH>
              <wp:positionV relativeFrom="page">
                <wp:align>bottom</wp:align>
              </wp:positionV>
              <wp:extent cx="2259965" cy="314325"/>
              <wp:effectExtent l="0" t="0" r="6985" b="0"/>
              <wp:wrapNone/>
              <wp:docPr id="58136203" name="Cuadro de texto 5"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47FEA5D8" w14:textId="0F2D1ABD" w:rsidR="00576D5A" w:rsidRPr="00576D5A" w:rsidRDefault="00576D5A" w:rsidP="00576D5A">
                          <w:pPr>
                            <w:rPr>
                              <w:rFonts w:ascii="Aptos" w:eastAsia="Aptos" w:hAnsi="Aptos" w:cs="Aptos"/>
                              <w:noProof/>
                              <w:color w:val="000000"/>
                              <w:sz w:val="16"/>
                              <w:szCs w:val="16"/>
                            </w:rPr>
                          </w:pPr>
                          <w:r w:rsidRPr="00576D5A">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95BE9B" id="_x0000_t202" coordsize="21600,21600" o:spt="202" path="m,l,21600r21600,l21600,xe">
              <v:stroke joinstyle="miter"/>
              <v:path gradientshapeok="t" o:connecttype="rect"/>
            </v:shapetype>
            <v:shape id="Cuadro de texto 5" o:spid="_x0000_s1028" type="#_x0000_t202" alt="Uso Interno - No compartir fuera de la organización." style="position:absolute;margin-left:0;margin-top:0;width:177.9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filled="f" stroked="f">
              <v:textbox style="mso-fit-shape-to-text:t" inset="0,0,0,15pt">
                <w:txbxContent>
                  <w:p w14:paraId="47FEA5D8" w14:textId="0F2D1ABD" w:rsidR="00576D5A" w:rsidRPr="00576D5A" w:rsidRDefault="00576D5A" w:rsidP="00576D5A">
                    <w:pPr>
                      <w:rPr>
                        <w:rFonts w:ascii="Aptos" w:eastAsia="Aptos" w:hAnsi="Aptos" w:cs="Aptos"/>
                        <w:noProof/>
                        <w:color w:val="000000"/>
                        <w:sz w:val="16"/>
                        <w:szCs w:val="16"/>
                      </w:rPr>
                    </w:pPr>
                    <w:r w:rsidRPr="00576D5A">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A8AD" w14:textId="2F9C43F8" w:rsidR="006333B2" w:rsidRDefault="006333B2">
    <w:pPr>
      <w:pStyle w:val="Piedepgina"/>
    </w:pPr>
    <w:r>
      <w:t xml:space="preserve">(*) Llamadas entrantes y salientes que </w:t>
    </w:r>
    <w:r w:rsidR="00442F11">
      <w:t>están</w:t>
    </w:r>
    <w:r w:rsidR="009A7853">
      <w:t xml:space="preserve"> en</w:t>
    </w:r>
    <w:r>
      <w:t xml:space="preserve"> nuestra telefonía</w:t>
    </w:r>
  </w:p>
  <w:p w14:paraId="7E28FAA1" w14:textId="35E9C77D" w:rsidR="00442F11" w:rsidRDefault="00442F11">
    <w:pPr>
      <w:pStyle w:val="Piedepgina"/>
    </w:pPr>
    <w:r>
      <w:t>(**) Llamadas entrantes que están en nuestra telefonía</w:t>
    </w:r>
  </w:p>
  <w:p w14:paraId="1585362A" w14:textId="7AC7CDE4" w:rsidR="00576D5A" w:rsidRDefault="00576D5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211" w14:textId="4D0D34E3" w:rsidR="00576D5A" w:rsidRDefault="00576D5A">
    <w:pPr>
      <w:pStyle w:val="Piedepgina"/>
    </w:pPr>
    <w:r>
      <w:rPr>
        <w:noProof/>
      </w:rPr>
      <mc:AlternateContent>
        <mc:Choice Requires="wps">
          <w:drawing>
            <wp:anchor distT="0" distB="0" distL="0" distR="0" simplePos="0" relativeHeight="251661312" behindDoc="0" locked="0" layoutInCell="1" allowOverlap="1" wp14:anchorId="0EB2D4AA" wp14:editId="4CF88F2E">
              <wp:simplePos x="635" y="635"/>
              <wp:positionH relativeFrom="page">
                <wp:align>center</wp:align>
              </wp:positionH>
              <wp:positionV relativeFrom="page">
                <wp:align>bottom</wp:align>
              </wp:positionV>
              <wp:extent cx="2259965" cy="314325"/>
              <wp:effectExtent l="0" t="0" r="6985" b="0"/>
              <wp:wrapNone/>
              <wp:docPr id="1691993466" name="Cuadro de texto 4"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3DCAB8F4" w14:textId="25262F86" w:rsidR="00576D5A" w:rsidRPr="00576D5A" w:rsidRDefault="00576D5A" w:rsidP="00576D5A">
                          <w:pPr>
                            <w:rPr>
                              <w:rFonts w:ascii="Aptos" w:eastAsia="Aptos" w:hAnsi="Aptos" w:cs="Aptos"/>
                              <w:noProof/>
                              <w:color w:val="000000"/>
                              <w:sz w:val="16"/>
                              <w:szCs w:val="16"/>
                            </w:rPr>
                          </w:pPr>
                          <w:r w:rsidRPr="00576D5A">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B2D4AA" id="_x0000_t202" coordsize="21600,21600" o:spt="202" path="m,l,21600r21600,l21600,xe">
              <v:stroke joinstyle="miter"/>
              <v:path gradientshapeok="t" o:connecttype="rect"/>
            </v:shapetype>
            <v:shape id="Cuadro de texto 4" o:spid="_x0000_s1030" type="#_x0000_t202" alt="Uso Interno - No compartir fuera de la organización." style="position:absolute;margin-left:0;margin-top:0;width:177.9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" filled="f" stroked="f">
              <v:textbox style="mso-fit-shape-to-text:t" inset="0,0,0,15pt">
                <w:txbxContent>
                  <w:p w14:paraId="3DCAB8F4" w14:textId="25262F86" w:rsidR="00576D5A" w:rsidRPr="00576D5A" w:rsidRDefault="00576D5A" w:rsidP="00576D5A">
                    <w:pPr>
                      <w:rPr>
                        <w:rFonts w:ascii="Aptos" w:eastAsia="Aptos" w:hAnsi="Aptos" w:cs="Aptos"/>
                        <w:noProof/>
                        <w:color w:val="000000"/>
                        <w:sz w:val="16"/>
                        <w:szCs w:val="16"/>
                      </w:rPr>
                    </w:pPr>
                    <w:r w:rsidRPr="00576D5A">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9F8FA" w14:textId="77777777" w:rsidR="00775812" w:rsidRDefault="00775812" w:rsidP="00576D5A">
      <w:r>
        <w:separator/>
      </w:r>
    </w:p>
  </w:footnote>
  <w:footnote w:type="continuationSeparator" w:id="0">
    <w:p w14:paraId="2B265811" w14:textId="77777777" w:rsidR="00775812" w:rsidRDefault="00775812" w:rsidP="00576D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EF7C" w14:textId="232ACA1E" w:rsidR="00576D5A" w:rsidRDefault="00576D5A">
    <w:pPr>
      <w:pStyle w:val="Encabezado"/>
    </w:pPr>
    <w:r>
      <w:rPr>
        <w:noProof/>
      </w:rPr>
      <mc:AlternateContent>
        <mc:Choice Requires="wps">
          <w:drawing>
            <wp:anchor distT="0" distB="0" distL="0" distR="0" simplePos="0" relativeHeight="251659264" behindDoc="0" locked="0" layoutInCell="1" allowOverlap="1" wp14:anchorId="3B98B891" wp14:editId="51F04B2E">
              <wp:simplePos x="635" y="635"/>
              <wp:positionH relativeFrom="page">
                <wp:align>left</wp:align>
              </wp:positionH>
              <wp:positionV relativeFrom="page">
                <wp:align>top</wp:align>
              </wp:positionV>
              <wp:extent cx="647700" cy="345440"/>
              <wp:effectExtent l="0" t="0" r="0" b="16510"/>
              <wp:wrapNone/>
              <wp:docPr id="1658549826" name="Cuadro de texto 2"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382E736A" w14:textId="690E684C" w:rsidR="00576D5A" w:rsidRPr="00576D5A" w:rsidRDefault="00576D5A" w:rsidP="00576D5A">
                          <w:pPr>
                            <w:rPr>
                              <w:rFonts w:ascii="Aptos" w:eastAsia="Aptos" w:hAnsi="Aptos" w:cs="Aptos"/>
                              <w:noProof/>
                              <w:color w:val="000000"/>
                              <w:sz w:val="20"/>
                              <w:szCs w:val="20"/>
                            </w:rPr>
                          </w:pPr>
                          <w:r w:rsidRPr="00576D5A">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98B891" id="_x0000_t202" coordsize="21600,21600" o:spt="202" path="m,l,21600r21600,l21600,xe">
              <v:stroke joinstyle="miter"/>
              <v:path gradientshapeok="t" o:connecttype="rect"/>
            </v:shapetype>
            <v:shape id="Cuadro de texto 2" o:spid="_x0000_s1026" type="#_x0000_t202" alt="Interno" style="position:absolute;margin-left:0;margin-top:0;width:51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filled="f" stroked="f">
              <v:textbox style="mso-fit-shape-to-text:t" inset="20pt,15pt,0,0">
                <w:txbxContent>
                  <w:p w14:paraId="382E736A" w14:textId="690E684C" w:rsidR="00576D5A" w:rsidRPr="00576D5A" w:rsidRDefault="00576D5A" w:rsidP="00576D5A">
                    <w:pPr>
                      <w:rPr>
                        <w:rFonts w:ascii="Aptos" w:eastAsia="Aptos" w:hAnsi="Aptos" w:cs="Aptos"/>
                        <w:noProof/>
                        <w:color w:val="000000"/>
                        <w:sz w:val="20"/>
                        <w:szCs w:val="20"/>
                      </w:rPr>
                    </w:pPr>
                    <w:r w:rsidRPr="00576D5A">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53DF" w14:textId="136066D1" w:rsidR="00576D5A" w:rsidRDefault="00576D5A">
    <w:pPr>
      <w:pStyle w:val="Encabezado"/>
    </w:pPr>
    <w:r>
      <w:rPr>
        <w:noProof/>
      </w:rPr>
      <mc:AlternateContent>
        <mc:Choice Requires="wps">
          <w:drawing>
            <wp:anchor distT="0" distB="0" distL="0" distR="0" simplePos="0" relativeHeight="251660288" behindDoc="0" locked="0" layoutInCell="1" allowOverlap="1" wp14:anchorId="745525C2" wp14:editId="5A23D0A5">
              <wp:simplePos x="914400" y="453224"/>
              <wp:positionH relativeFrom="page">
                <wp:align>left</wp:align>
              </wp:positionH>
              <wp:positionV relativeFrom="page">
                <wp:align>top</wp:align>
              </wp:positionV>
              <wp:extent cx="647700" cy="345440"/>
              <wp:effectExtent l="0" t="0" r="0" b="16510"/>
              <wp:wrapNone/>
              <wp:docPr id="1611194143" name="Cuadro de texto 3"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0CEFB62A" w14:textId="632C2994" w:rsidR="00576D5A" w:rsidRPr="00576D5A" w:rsidRDefault="00576D5A" w:rsidP="00576D5A">
                          <w:pPr>
                            <w:rPr>
                              <w:rFonts w:ascii="Aptos" w:eastAsia="Aptos" w:hAnsi="Aptos" w:cs="Aptos"/>
                              <w:noProof/>
                              <w:color w:val="000000"/>
                              <w:sz w:val="20"/>
                              <w:szCs w:val="20"/>
                            </w:rPr>
                          </w:pPr>
                          <w:r w:rsidRPr="00576D5A">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5525C2" id="_x0000_t202" coordsize="21600,21600" o:spt="202" path="m,l,21600r21600,l21600,xe">
              <v:stroke joinstyle="miter"/>
              <v:path gradientshapeok="t" o:connecttype="rect"/>
            </v:shapetype>
            <v:shape id="Cuadro de texto 3" o:spid="_x0000_s1027" type="#_x0000_t202" alt="Interno" style="position:absolute;margin-left:0;margin-top:0;width:51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filled="f" stroked="f">
              <v:textbox style="mso-fit-shape-to-text:t" inset="20pt,15pt,0,0">
                <w:txbxContent>
                  <w:p w14:paraId="0CEFB62A" w14:textId="632C2994" w:rsidR="00576D5A" w:rsidRPr="00576D5A" w:rsidRDefault="00576D5A" w:rsidP="00576D5A">
                    <w:pPr>
                      <w:rPr>
                        <w:rFonts w:ascii="Aptos" w:eastAsia="Aptos" w:hAnsi="Aptos" w:cs="Aptos"/>
                        <w:noProof/>
                        <w:color w:val="000000"/>
                        <w:sz w:val="20"/>
                        <w:szCs w:val="20"/>
                      </w:rPr>
                    </w:pPr>
                    <w:r w:rsidRPr="00576D5A">
                      <w:rPr>
                        <w:rFonts w:ascii="Aptos" w:eastAsia="Aptos" w:hAnsi="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BCDA" w14:textId="0F422604" w:rsidR="00576D5A" w:rsidRDefault="00576D5A">
    <w:pPr>
      <w:pStyle w:val="Encabezado"/>
    </w:pPr>
    <w:r>
      <w:rPr>
        <w:noProof/>
      </w:rPr>
      <mc:AlternateContent>
        <mc:Choice Requires="wps">
          <w:drawing>
            <wp:anchor distT="0" distB="0" distL="0" distR="0" simplePos="0" relativeHeight="251658240" behindDoc="0" locked="0" layoutInCell="1" allowOverlap="1" wp14:anchorId="77B92A23" wp14:editId="7983BA7F">
              <wp:simplePos x="635" y="635"/>
              <wp:positionH relativeFrom="page">
                <wp:align>left</wp:align>
              </wp:positionH>
              <wp:positionV relativeFrom="page">
                <wp:align>top</wp:align>
              </wp:positionV>
              <wp:extent cx="647700" cy="345440"/>
              <wp:effectExtent l="0" t="0" r="0" b="16510"/>
              <wp:wrapNone/>
              <wp:docPr id="452265916" name="Cuadro de texto 1"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41852B48" w14:textId="2CDA3ECD" w:rsidR="00576D5A" w:rsidRPr="00576D5A" w:rsidRDefault="00576D5A" w:rsidP="00576D5A">
                          <w:pPr>
                            <w:rPr>
                              <w:rFonts w:ascii="Aptos" w:eastAsia="Aptos" w:hAnsi="Aptos" w:cs="Aptos"/>
                              <w:noProof/>
                              <w:color w:val="000000"/>
                              <w:sz w:val="20"/>
                              <w:szCs w:val="20"/>
                            </w:rPr>
                          </w:pPr>
                          <w:r w:rsidRPr="00576D5A">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7B92A23" id="_x0000_t202" coordsize="21600,21600" o:spt="202" path="m,l,21600r21600,l21600,xe">
              <v:stroke joinstyle="miter"/>
              <v:path gradientshapeok="t" o:connecttype="rect"/>
            </v:shapetype>
            <v:shape id="Cuadro de texto 1" o:spid="_x0000_s1029" type="#_x0000_t202" alt="Interno" style="position:absolute;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" filled="f" stroked="f">
              <v:textbox style="mso-fit-shape-to-text:t" inset="20pt,15pt,0,0">
                <w:txbxContent>
                  <w:p w14:paraId="41852B48" w14:textId="2CDA3ECD" w:rsidR="00576D5A" w:rsidRPr="00576D5A" w:rsidRDefault="00576D5A" w:rsidP="00576D5A">
                    <w:pPr>
                      <w:rPr>
                        <w:rFonts w:ascii="Aptos" w:eastAsia="Aptos" w:hAnsi="Aptos" w:cs="Aptos"/>
                        <w:noProof/>
                        <w:color w:val="000000"/>
                        <w:sz w:val="20"/>
                        <w:szCs w:val="20"/>
                      </w:rPr>
                    </w:pPr>
                    <w:r w:rsidRPr="00576D5A">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A329A"/>
    <w:multiLevelType w:val="hybridMultilevel"/>
    <w:tmpl w:val="44225362"/>
    <w:lvl w:ilvl="0" w:tplc="AB928498">
      <w:numFmt w:val="bullet"/>
      <w:lvlText w:val=""/>
      <w:lvlJc w:val="left"/>
      <w:pPr>
        <w:ind w:left="720" w:hanging="360"/>
      </w:pPr>
      <w:rPr>
        <w:rFonts w:ascii="Symbol" w:eastAsia="Georgia" w:hAnsi="Symbol" w:cs="Georgi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5DC0832"/>
    <w:multiLevelType w:val="hybridMultilevel"/>
    <w:tmpl w:val="453A20BE"/>
    <w:lvl w:ilvl="0" w:tplc="674E9C3E">
      <w:start w:val="1"/>
      <w:numFmt w:val="bullet"/>
      <w:lvlText w:val="●"/>
      <w:lvlJc w:val="left"/>
      <w:pPr>
        <w:ind w:left="720" w:hanging="360"/>
      </w:pPr>
    </w:lvl>
    <w:lvl w:ilvl="1" w:tplc="A754D378">
      <w:start w:val="1"/>
      <w:numFmt w:val="bullet"/>
      <w:lvlText w:val="○"/>
      <w:lvlJc w:val="left"/>
      <w:pPr>
        <w:ind w:left="1440" w:hanging="360"/>
      </w:pPr>
    </w:lvl>
    <w:lvl w:ilvl="2" w:tplc="4718EE62">
      <w:start w:val="1"/>
      <w:numFmt w:val="bullet"/>
      <w:lvlText w:val="■"/>
      <w:lvlJc w:val="left"/>
      <w:pPr>
        <w:ind w:left="2160" w:hanging="360"/>
      </w:pPr>
    </w:lvl>
    <w:lvl w:ilvl="3" w:tplc="E5744346">
      <w:start w:val="1"/>
      <w:numFmt w:val="bullet"/>
      <w:lvlText w:val="●"/>
      <w:lvlJc w:val="left"/>
      <w:pPr>
        <w:ind w:left="2880" w:hanging="360"/>
      </w:pPr>
    </w:lvl>
    <w:lvl w:ilvl="4" w:tplc="56BA950C">
      <w:start w:val="1"/>
      <w:numFmt w:val="bullet"/>
      <w:lvlText w:val="○"/>
      <w:lvlJc w:val="left"/>
      <w:pPr>
        <w:ind w:left="3600" w:hanging="360"/>
      </w:pPr>
    </w:lvl>
    <w:lvl w:ilvl="5" w:tplc="70EED304">
      <w:start w:val="1"/>
      <w:numFmt w:val="bullet"/>
      <w:lvlText w:val="■"/>
      <w:lvlJc w:val="left"/>
      <w:pPr>
        <w:ind w:left="4320" w:hanging="360"/>
      </w:pPr>
    </w:lvl>
    <w:lvl w:ilvl="6" w:tplc="E1D2F24C">
      <w:start w:val="1"/>
      <w:numFmt w:val="bullet"/>
      <w:lvlText w:val="●"/>
      <w:lvlJc w:val="left"/>
      <w:pPr>
        <w:ind w:left="5040" w:hanging="360"/>
      </w:pPr>
    </w:lvl>
    <w:lvl w:ilvl="7" w:tplc="033C8E9A">
      <w:start w:val="1"/>
      <w:numFmt w:val="bullet"/>
      <w:lvlText w:val="●"/>
      <w:lvlJc w:val="left"/>
      <w:pPr>
        <w:ind w:left="5760" w:hanging="360"/>
      </w:pPr>
    </w:lvl>
    <w:lvl w:ilvl="8" w:tplc="39B0A106">
      <w:start w:val="1"/>
      <w:numFmt w:val="bullet"/>
      <w:lvlText w:val="●"/>
      <w:lvlJc w:val="left"/>
      <w:pPr>
        <w:ind w:left="6480" w:hanging="360"/>
      </w:pPr>
    </w:lvl>
  </w:abstractNum>
  <w:abstractNum w:abstractNumId="2" w15:restartNumberingAfterBreak="0">
    <w:nsid w:val="66702259"/>
    <w:multiLevelType w:val="hybridMultilevel"/>
    <w:tmpl w:val="775C71D8"/>
    <w:lvl w:ilvl="0" w:tplc="8666868E">
      <w:numFmt w:val="bullet"/>
      <w:lvlText w:val=""/>
      <w:lvlJc w:val="left"/>
      <w:pPr>
        <w:ind w:left="720" w:hanging="360"/>
      </w:pPr>
      <w:rPr>
        <w:rFonts w:ascii="Symbol" w:eastAsia="Georgia" w:hAnsi="Symbol" w:cs="Georgi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5580841">
    <w:abstractNumId w:val="1"/>
    <w:lvlOverride w:ilvl="0">
      <w:startOverride w:val="1"/>
    </w:lvlOverride>
  </w:num>
  <w:num w:numId="2" w16cid:durableId="603463009">
    <w:abstractNumId w:val="0"/>
  </w:num>
  <w:num w:numId="3" w16cid:durableId="228080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1F6"/>
    <w:rsid w:val="001D3285"/>
    <w:rsid w:val="001D4110"/>
    <w:rsid w:val="001E44A7"/>
    <w:rsid w:val="002751BA"/>
    <w:rsid w:val="002C2D86"/>
    <w:rsid w:val="003E1D48"/>
    <w:rsid w:val="00442F11"/>
    <w:rsid w:val="004506D4"/>
    <w:rsid w:val="004D3588"/>
    <w:rsid w:val="00524389"/>
    <w:rsid w:val="00530ACD"/>
    <w:rsid w:val="00576D5A"/>
    <w:rsid w:val="006333B2"/>
    <w:rsid w:val="00657198"/>
    <w:rsid w:val="00665FD0"/>
    <w:rsid w:val="006969E7"/>
    <w:rsid w:val="006C7F65"/>
    <w:rsid w:val="007509C4"/>
    <w:rsid w:val="00775812"/>
    <w:rsid w:val="008951F6"/>
    <w:rsid w:val="009A0710"/>
    <w:rsid w:val="009A7853"/>
    <w:rsid w:val="00C461D0"/>
    <w:rsid w:val="00E111DF"/>
    <w:rsid w:val="00E6000A"/>
    <w:rsid w:val="00FF5E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80A2D"/>
  <w15:docId w15:val="{24082E43-82FA-4239-9D09-D450BF16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76D5A"/>
    <w:pPr>
      <w:tabs>
        <w:tab w:val="center" w:pos="4252"/>
        <w:tab w:val="right" w:pos="8504"/>
      </w:tabs>
    </w:pPr>
  </w:style>
  <w:style w:type="character" w:customStyle="1" w:styleId="EncabezadoCar">
    <w:name w:val="Encabezado Car"/>
    <w:basedOn w:val="Fuentedeprrafopredeter"/>
    <w:link w:val="Encabezado"/>
    <w:uiPriority w:val="99"/>
    <w:rsid w:val="00576D5A"/>
  </w:style>
  <w:style w:type="paragraph" w:styleId="Piedepgina">
    <w:name w:val="footer"/>
    <w:basedOn w:val="Normal"/>
    <w:link w:val="PiedepginaCar"/>
    <w:uiPriority w:val="99"/>
    <w:unhideWhenUsed/>
    <w:rsid w:val="00576D5A"/>
    <w:pPr>
      <w:tabs>
        <w:tab w:val="center" w:pos="4252"/>
        <w:tab w:val="right" w:pos="8504"/>
      </w:tabs>
    </w:pPr>
  </w:style>
  <w:style w:type="character" w:customStyle="1" w:styleId="PiedepginaCar">
    <w:name w:val="Pie de página Car"/>
    <w:basedOn w:val="Fuentedeprrafopredeter"/>
    <w:link w:val="Piedepgina"/>
    <w:uiPriority w:val="99"/>
    <w:rsid w:val="00576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8BB309973A6DE44A1BFE5432371160D" ma:contentTypeVersion="10" ma:contentTypeDescription="Crear nuevo documento." ma:contentTypeScope="" ma:versionID="b0825f9c35a7c3854605de53a3c7ae9f">
  <xsd:schema xmlns:xsd="http://www.w3.org/2001/XMLSchema" xmlns:xs="http://www.w3.org/2001/XMLSchema" xmlns:p="http://schemas.microsoft.com/office/2006/metadata/properties" xmlns:ns2="04193494-f6b7-4b38-ba18-ede97f73ccfd" targetNamespace="http://schemas.microsoft.com/office/2006/metadata/properties" ma:root="true" ma:fieldsID="3035e4646904acacf692b0a8489d90cc" ns2:_="">
    <xsd:import namespace="04193494-f6b7-4b38-ba18-ede97f73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93494-f6b7-4b38-ba18-ede97f73c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93ba224-6a42-47cf-994a-bd0f2c22a18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4193494-f6b7-4b38-ba18-ede97f73c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90E42D-AAAE-47AB-8F82-73E68DFF345E}">
  <ds:schemaRefs>
    <ds:schemaRef ds:uri="http://schemas.openxmlformats.org/officeDocument/2006/bibliography"/>
  </ds:schemaRefs>
</ds:datastoreItem>
</file>

<file path=customXml/itemProps2.xml><?xml version="1.0" encoding="utf-8"?>
<ds:datastoreItem xmlns:ds="http://schemas.openxmlformats.org/officeDocument/2006/customXml" ds:itemID="{83EED31E-9BA3-46E0-B0D7-A77F3085EB29}"/>
</file>

<file path=customXml/itemProps3.xml><?xml version="1.0" encoding="utf-8"?>
<ds:datastoreItem xmlns:ds="http://schemas.openxmlformats.org/officeDocument/2006/customXml" ds:itemID="{CCDE438E-DB4D-48DE-B78F-42F5F5012624}"/>
</file>

<file path=customXml/itemProps4.xml><?xml version="1.0" encoding="utf-8"?>
<ds:datastoreItem xmlns:ds="http://schemas.openxmlformats.org/officeDocument/2006/customXml" ds:itemID="{9E5BB6E1-C00C-4084-851C-974C0947CC04}"/>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Properties xmlns="http://schemas.openxmlformats.org/officeDocument/2006/extended-properties" xmlns:vt="http://schemas.openxmlformats.org/officeDocument/2006/docPropsVTypes">
  <Template>Normal.dotm</Template>
  <TotalTime>50</TotalTime>
  <Pages>6</Pages>
  <Words>2459</Words>
  <Characters>12988</Characters>
  <Application>Microsoft Office Word</Application>
  <DocSecurity>0</DocSecurity>
  <Lines>324</Lines>
  <Paragraphs>230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GARCIA SAN LUIS</cp:lastModifiedBy>
  <cp:revision>19</cp:revision>
  <dcterms:created xsi:type="dcterms:W3CDTF">2026-05-28T15:38:00Z</dcterms:created>
  <dcterms:modified xsi:type="dcterms:W3CDTF">2026-06-01T08:10:00Z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1af507bc,62db7642,6008df1f</vt:lpwstr>
  </property>
  <property fmtid="{D5CDD505-2E9C-101B-9397-08002B2CF9AE}" pid="3" name="ClassificationContentMarkingHeaderFontProps">
    <vt:lpwstr>#000000,10,Aptos</vt:lpwstr>
  </property>
  <property fmtid="{D5CDD505-2E9C-101B-9397-08002B2CF9AE}" pid="4" name="ClassificationContentMarkingHeaderText">
    <vt:lpwstr>Interno</vt:lpwstr>
  </property>
  <property fmtid="{D5CDD505-2E9C-101B-9397-08002B2CF9AE}" pid="5" name="ClassificationContentMarkingFooterShapeIds">
    <vt:lpwstr>64d9c57a,377168b,7356e2b7</vt:lpwstr>
  </property>
  <property fmtid="{D5CDD505-2E9C-101B-9397-08002B2CF9AE}" pid="6" name="ClassificationContentMarkingFooterFontProps">
    <vt:lpwstr>#000000,8,Aptos</vt:lpwstr>
  </property>
  <property fmtid="{D5CDD505-2E9C-101B-9397-08002B2CF9AE}" pid="7" name="ClassificationContentMarkingFooterText">
    <vt:lpwstr>Uso Interno - No compartir fuera de la organización.</vt:lpwstr>
  </property>
  <property fmtid="{D5CDD505-2E9C-101B-9397-08002B2CF9AE}" pid="8" name="ContentTypeId">
    <vt:lpwstr>0x010100C8BB309973A6DE44A1BFE5432371160D</vt:lpwstr>
  </property>
</Properties>
</file>