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1EF0" w:rsidP="005F1EF0" w:rsidRDefault="005F1EF0" w14:paraId="3B17FA62" w14:textId="17F4A206">
      <w:pPr>
        <w:spacing w:after="60"/>
      </w:pPr>
      <w:r>
        <w:rPr>
          <w:rFonts w:ascii="Arial" w:hAnsi="Arial" w:cs="Arial"/>
          <w:color w:val="888888"/>
          <w:sz w:val="16"/>
          <w:szCs w:val="16"/>
        </w:rPr>
        <w:t>PARA USO INTERNO · CONFIDENCIAL · DOCUMENTO PRESS RELEASE</w:t>
      </w:r>
    </w:p>
    <w:p w:rsidR="005F1EF0" w:rsidP="005F1EF0" w:rsidRDefault="005F1EF0" w14:paraId="3B17FA63" w14:textId="77777777">
      <w:pPr>
        <w:spacing w:after="120"/>
      </w:pPr>
      <w:r>
        <w:rPr>
          <w:rFonts w:ascii="Arial" w:hAnsi="Arial" w:cs="Arial"/>
          <w:color w:val="555555"/>
          <w:sz w:val="18"/>
          <w:szCs w:val="18"/>
        </w:rPr>
        <w:t>Versión 1.0 — Iniciativa Gobierno del Dato y Plataforma Analítica</w:t>
      </w:r>
    </w:p>
    <w:p w:rsidR="005F1EF0" w:rsidP="005F1EF0" w:rsidRDefault="005F1EF0" w14:paraId="3AC15C8B" w14:textId="77777777">
      <w:pPr>
        <w:spacing w:after="160"/>
        <w:rPr>
          <w:kern w:val="2"/>
          <w14:ligatures w14:val="standardContextual"/>
        </w:rPr>
      </w:pPr>
      <w:r>
        <w:rPr>
          <w:rFonts w:ascii="Arial" w:hAnsi="Arial" w:cs="Arial"/>
          <w:b/>
          <w:bCs/>
          <w:sz w:val="38"/>
          <w:szCs w:val="38"/>
        </w:rPr>
        <w:t>Línea Directa impulsa el Gobierno del Dato como pilar estratégico de su transformación digital: una sola verdad, una sola plataforma, y analistas que saben aprovecharla</w:t>
      </w:r>
    </w:p>
    <w:p w:rsidR="005F1EF0" w:rsidP="005F1EF0" w:rsidRDefault="005F1EF0" w14:paraId="3B17FA65" w14:textId="77777777">
      <w:pPr>
        <w:spacing w:after="200"/>
      </w:pPr>
      <w:r>
        <w:rPr>
          <w:i/>
          <w:color w:val="555555"/>
          <w:sz w:val="24"/>
          <w:szCs w:val="24"/>
        </w:rPr>
        <w:t>30 años de historia sin fusiones han dado a Línea Directa un dato operacional excepcionalmente puro. Ahora llega el momento de hacer lo mismo con el dato analítico: ordenarlo, gobernarlo y ponerlo al servicio de cada decisión y cada modelo de IA.</w:t>
      </w:r>
    </w:p>
    <w:p w:rsidR="005F1EF0" w:rsidP="005F1EF0" w:rsidRDefault="005F1EF0" w14:paraId="3B17FA66" w14:textId="77777777">
      <w:pPr>
        <w:pBdr>
          <w:bottom w:val="single" w:color="D3D1C7" w:sz="1" w:space="1"/>
        </w:pBdr>
        <w:spacing w:after="240"/>
      </w:pPr>
    </w:p>
    <w:p w:rsidR="005F1EF0" w:rsidP="005F1EF0" w:rsidRDefault="005F1EF0" w14:paraId="3B17FA67" w14:textId="77777777">
      <w:pPr>
        <w:spacing w:after="200"/>
      </w:pPr>
      <w:r>
        <w:rPr>
          <w:rFonts w:ascii="Arial" w:hAnsi="Arial" w:cs="Arial"/>
          <w:color w:val="888888"/>
          <w:sz w:val="18"/>
          <w:szCs w:val="18"/>
        </w:rPr>
        <w:t>Madrid, 2026 — Para distribución interna inmediata</w:t>
      </w:r>
    </w:p>
    <w:p w:rsidR="005F1EF0" w:rsidP="005F1EF0" w:rsidRDefault="005F1EF0" w14:paraId="2C3697D6" w14:textId="77777777">
      <w:pPr>
        <w:spacing w:after="180"/>
        <w:jc w:val="both"/>
        <w:rPr>
          <w:kern w:val="2"/>
          <w14:ligatures w14:val="standardContextual"/>
        </w:rPr>
      </w:pPr>
      <w:r>
        <w:t>Línea Directa Aseguradora lanzó en 2025 la iniciativa de Gobierno y ahora llega el momento de habilitar esta iniciativa con el lanzamiento del proyecto de una nueva Plataforma del Dato, una transformación que afecta a cómo la compañía produce, gestiona y consume sus datos. La ambición es clara: que cualquier métrica, cualquier modelo y cualquier informe generado en la empresa utilizará datos certificados procedentes de los correspondientes dominios de datos, todo dato y producto de dato tendrá un propietario que responderá por la definición, la calidad y el uso que se hace de ese dato.</w:t>
      </w:r>
    </w:p>
    <w:p w:rsidR="005F1EF0" w:rsidP="005F1EF0" w:rsidRDefault="005F1EF0" w14:paraId="456BB1FA" w14:textId="77777777">
      <w:pPr>
        <w:spacing w:after="200"/>
        <w:jc w:val="both"/>
        <w:rPr>
          <w:kern w:val="2"/>
          <w14:ligatures w14:val="standardContextual"/>
        </w:rPr>
      </w:pPr>
      <w:r>
        <w:t xml:space="preserve">La ventaja de partida es real y no debe darse por sentada. Al no haber experimentado fusiones en sus tres décadas de historia, el dato operacional de Línea Directa tiene una coherencia estructural que muchas aseguradoras envidiarían. El reto no está en el dato que sale de los sistemas </w:t>
      </w:r>
      <w:proofErr w:type="spellStart"/>
      <w:r>
        <w:t>core</w:t>
      </w:r>
      <w:proofErr w:type="spellEnd"/>
      <w:r>
        <w:t xml:space="preserve"> —ese es razonablemente sólido—, sino en lo que ocurre con él después: distintos equipos de analistas distribuidos por toda la compañía someten los datos a múltiples tratamientos independientes. IT procesa, BI transforma, los analistas de negocio recalculan. El resultado es trabajo duplicado a gran escala: las mismas consultas se repiten cada mañana en cientos de procesos SAS, informes que podrían automatizarse se sacan manualmente cada día, y la misma métrica puede tener interpretaciones diferentes según quién la haya calculado y con qué cadena de transformaciones.</w:t>
      </w:r>
    </w:p>
    <w:tbl>
      <w:tblPr>
        <w:tblW w:w="9026" w:type="dxa"/>
        <w:tblCellMar>
          <w:left w:w="10" w:type="dxa"/>
          <w:right w:w="10" w:type="dxa"/>
        </w:tblCellMar>
        <w:tblLook w:val="0000" w:firstRow="0" w:lastRow="0" w:firstColumn="0" w:lastColumn="0" w:noHBand="0" w:noVBand="0"/>
      </w:tblPr>
      <w:tblGrid>
        <w:gridCol w:w="9026"/>
      </w:tblGrid>
      <w:tr w:rsidR="005F1EF0" w:rsidTr="008D2625" w14:paraId="3B17FA6C" w14:textId="77777777">
        <w:tc>
          <w:tcPr>
            <w:tcW w:w="9026" w:type="dxa"/>
            <w:tcBorders>
              <w:left w:val="single" w:color="B4B2A9" w:sz="18" w:space="0"/>
            </w:tcBorders>
            <w:shd w:val="clear" w:color="auto" w:fill="F8F7F4"/>
            <w:tcMar>
              <w:top w:w="160" w:type="dxa"/>
              <w:left w:w="280" w:type="dxa"/>
              <w:bottom w:w="120" w:type="dxa"/>
              <w:right w:w="200" w:type="dxa"/>
            </w:tcMar>
          </w:tcPr>
          <w:p w:rsidR="005F1EF0" w:rsidP="008D2625" w:rsidRDefault="005F1EF0" w14:paraId="3B17FA6A" w14:textId="0611EC11">
            <w:pPr>
              <w:spacing w:after="60"/>
              <w:jc w:val="both"/>
            </w:pPr>
            <w:r>
              <w:rPr>
                <w:i/>
                <w:color w:val="555555"/>
                <w:sz w:val="21"/>
                <w:szCs w:val="21"/>
              </w:rPr>
              <w:t>“Tenemos analistas extraordinarios, pero cada uno con su propia versión de la realidad. No porque quisieran — sino porque nadie había establecido las reglas del juego. Este proyecto viene a hacer exactamente eso: establecer quién es dueño de cada dato, qué significa cada métrica y en qué plataforma vive la verdad.”</w:t>
            </w:r>
          </w:p>
          <w:p w:rsidR="005F1EF0" w:rsidP="008D2625" w:rsidRDefault="005F1EF0" w14:paraId="3B17FA6B" w14:textId="0D111BF8">
            <w:pPr>
              <w:spacing w:before="60"/>
            </w:pPr>
            <w:r>
              <w:rPr>
                <w:rFonts w:ascii="Arial" w:hAnsi="Arial" w:cs="Arial"/>
                <w:color w:val="888888"/>
                <w:sz w:val="17"/>
                <w:szCs w:val="17"/>
              </w:rPr>
              <w:t xml:space="preserve">— </w:t>
            </w:r>
            <w:proofErr w:type="gramStart"/>
            <w:r>
              <w:rPr>
                <w:rFonts w:ascii="Arial" w:hAnsi="Arial" w:cs="Arial"/>
                <w:color w:val="888888"/>
                <w:sz w:val="17"/>
                <w:szCs w:val="17"/>
              </w:rPr>
              <w:t>Director</w:t>
            </w:r>
            <w:proofErr w:type="gramEnd"/>
            <w:r>
              <w:rPr>
                <w:rFonts w:ascii="Arial" w:hAnsi="Arial" w:cs="Arial"/>
                <w:color w:val="888888"/>
                <w:sz w:val="17"/>
                <w:szCs w:val="17"/>
              </w:rPr>
              <w:t xml:space="preserve"> Área Técnica, Línea Directa Aseguradora</w:t>
            </w:r>
          </w:p>
        </w:tc>
      </w:tr>
    </w:tbl>
    <w:p w:rsidR="005F1EF0" w:rsidP="005F1EF0" w:rsidRDefault="005F1EF0" w14:paraId="3B17FA6D" w14:textId="77777777">
      <w:pPr>
        <w:spacing w:before="200"/>
      </w:pPr>
    </w:p>
    <w:p w:rsidR="005F1EF0" w:rsidP="005F1EF0" w:rsidRDefault="005F1EF0" w14:paraId="506459AD" w14:textId="77777777">
      <w:pPr>
        <w:spacing w:after="200"/>
        <w:jc w:val="both"/>
        <w:rPr>
          <w:kern w:val="2"/>
          <w14:ligatures w14:val="standardContextual"/>
        </w:rPr>
      </w:pPr>
      <w:r>
        <w:t>El proyecto se articula en cinco bloques estratégicos definidos en la Política Corporativa de Gobierno del Dato.</w:t>
      </w:r>
    </w:p>
    <w:p w:rsidR="005F1EF0" w:rsidP="005F1EF0" w:rsidRDefault="005F1EF0" w14:paraId="34D12953" w14:textId="77777777">
      <w:pPr>
        <w:spacing w:after="200"/>
        <w:jc w:val="both"/>
        <w:rPr>
          <w:kern w:val="2"/>
          <w14:ligatures w14:val="standardContextual"/>
        </w:rPr>
      </w:pPr>
      <w:r>
        <w:t xml:space="preserve">El primero es la </w:t>
      </w:r>
      <w:r>
        <w:rPr>
          <w:b/>
          <w:bCs/>
        </w:rPr>
        <w:t>organización</w:t>
      </w:r>
      <w:r>
        <w:t xml:space="preserve">: un modelo formal de responsabilidades sobre el dato, con Data </w:t>
      </w:r>
      <w:proofErr w:type="spellStart"/>
      <w:r>
        <w:t>Owners</w:t>
      </w:r>
      <w:proofErr w:type="spellEnd"/>
      <w:r>
        <w:t xml:space="preserve"> como responsables de negocio, Data </w:t>
      </w:r>
      <w:proofErr w:type="spellStart"/>
      <w:r>
        <w:t>Stewards</w:t>
      </w:r>
      <w:proofErr w:type="spellEnd"/>
      <w:r>
        <w:t xml:space="preserve"> en la gestión operativa, Data </w:t>
      </w:r>
      <w:proofErr w:type="spellStart"/>
      <w:r>
        <w:t>Custodians</w:t>
      </w:r>
      <w:proofErr w:type="spellEnd"/>
      <w:r>
        <w:t xml:space="preserve"> en el control técnico de plataformas y una oficina de gobierno del dato como función central de coordinación, decisión y escalado. Un modelo basado en dominios de datos bien definidos -clientes, </w:t>
      </w:r>
      <w:proofErr w:type="spellStart"/>
      <w:r>
        <w:t>polizas</w:t>
      </w:r>
      <w:proofErr w:type="spellEnd"/>
      <w:r>
        <w:t>, siniestros, calidad, finanzas y otros- y productos de datos que explotan estos dominios.</w:t>
      </w:r>
    </w:p>
    <w:p w:rsidR="005F1EF0" w:rsidP="005F1EF0" w:rsidRDefault="005F1EF0" w14:paraId="572B2912" w14:textId="77777777">
      <w:pPr>
        <w:spacing w:after="200"/>
        <w:jc w:val="both"/>
        <w:rPr>
          <w:kern w:val="2"/>
          <w14:ligatures w14:val="standardContextual"/>
        </w:rPr>
      </w:pPr>
      <w:r>
        <w:lastRenderedPageBreak/>
        <w:t xml:space="preserve">El segundo es el </w:t>
      </w:r>
      <w:r>
        <w:rPr>
          <w:b/>
          <w:bCs/>
        </w:rPr>
        <w:t xml:space="preserve">talento y </w:t>
      </w:r>
      <w:proofErr w:type="spellStart"/>
      <w:r>
        <w:rPr>
          <w:b/>
          <w:bCs/>
        </w:rPr>
        <w:t>upskilling</w:t>
      </w:r>
      <w:proofErr w:type="spellEnd"/>
      <w:r>
        <w:t>: la transformación de capacidades de la comunidad analítica de Línea Directa Aseguradora – el llamado colectivo PI-, a través de un programa estructurado de formación para analistas, roles de gobierno y negocio, orientado a especializar perfiles y reforzar el dominio de herramientas, prácticas y conceptos de gobierno del dato, dejando atrás la dependencia de SAS como herramienta universal.</w:t>
      </w:r>
    </w:p>
    <w:p w:rsidR="005F1EF0" w:rsidP="005F1EF0" w:rsidRDefault="005F1EF0" w14:paraId="2DD3822A" w14:textId="77777777">
      <w:pPr>
        <w:spacing w:after="200"/>
        <w:jc w:val="both"/>
        <w:rPr>
          <w:kern w:val="2"/>
          <w14:ligatures w14:val="standardContextual"/>
        </w:rPr>
      </w:pPr>
      <w:r>
        <w:t xml:space="preserve">El tercero son las </w:t>
      </w:r>
      <w:r>
        <w:rPr>
          <w:b/>
          <w:bCs/>
        </w:rPr>
        <w:t>políticas y normas</w:t>
      </w:r>
      <w:r>
        <w:t>: un marco regulatorio interno aprobado por el Consejo que convierte el gobierno del dato en una obligación corporativa, con normas de calidad, catálogo, seguridad, privacidad, trazabilidad y estándares comunes para glosarios, métricas y productos de datos.</w:t>
      </w:r>
    </w:p>
    <w:p w:rsidR="005F1EF0" w:rsidP="005F1EF0" w:rsidRDefault="005F1EF0" w14:paraId="26354AF1" w14:textId="77777777">
      <w:pPr>
        <w:spacing w:after="200"/>
        <w:jc w:val="both"/>
        <w:rPr>
          <w:kern w:val="2"/>
          <w14:ligatures w14:val="standardContextual"/>
        </w:rPr>
      </w:pPr>
      <w:r>
        <w:t xml:space="preserve">El cuarto es el </w:t>
      </w:r>
      <w:r>
        <w:rPr>
          <w:b/>
          <w:bCs/>
        </w:rPr>
        <w:t>modelo operativo</w:t>
      </w:r>
      <w:r>
        <w:t xml:space="preserve">: la forma en que la comunidad de analistas explota el dato – </w:t>
      </w:r>
      <w:proofErr w:type="spellStart"/>
      <w:r>
        <w:t>Reporting</w:t>
      </w:r>
      <w:proofErr w:type="spellEnd"/>
      <w:r>
        <w:t xml:space="preserve">, analistas, </w:t>
      </w:r>
      <w:proofErr w:type="spellStart"/>
      <w:r>
        <w:t>datascientist</w:t>
      </w:r>
      <w:proofErr w:type="spellEnd"/>
      <w:r>
        <w:t>- así el modo en el que el gobierno se ejecuta en el día a día, mediante la gestión por dominios y productos de datos.</w:t>
      </w:r>
    </w:p>
    <w:p w:rsidR="005F1EF0" w:rsidP="005F1EF0" w:rsidRDefault="005F1EF0" w14:paraId="6588D68A" w14:textId="77777777">
      <w:pPr>
        <w:spacing w:after="200"/>
        <w:jc w:val="both"/>
        <w:rPr>
          <w:kern w:val="2"/>
          <w14:ligatures w14:val="standardContextual"/>
        </w:rPr>
      </w:pPr>
      <w:r>
        <w:t xml:space="preserve">El quinto es la </w:t>
      </w:r>
      <w:r>
        <w:rPr>
          <w:b/>
          <w:bCs/>
        </w:rPr>
        <w:t>infraestructura y plataforma de datos</w:t>
      </w:r>
      <w:r>
        <w:t xml:space="preserve">: la evolución hacia una nueva plataforma analítica tipo </w:t>
      </w:r>
      <w:proofErr w:type="spellStart"/>
      <w:r>
        <w:t>Lakehouse</w:t>
      </w:r>
      <w:proofErr w:type="spellEnd"/>
      <w:r>
        <w:t xml:space="preserve"> que soporta capacidades de linaje, calidad y catálogo, y habilita el gobierno del dato como base tecnológica de la transformación.</w:t>
      </w:r>
    </w:p>
    <w:p w:rsidR="005F1EF0" w:rsidP="005F1EF0" w:rsidRDefault="005F1EF0" w14:paraId="3B17FA6E" w14:textId="20D246D9">
      <w:pPr>
        <w:spacing w:after="200"/>
        <w:jc w:val="both"/>
      </w:pPr>
    </w:p>
    <w:tbl>
      <w:tblPr>
        <w:tblW w:w="9026" w:type="dxa"/>
        <w:tblCellMar>
          <w:left w:w="10" w:type="dxa"/>
          <w:right w:w="10" w:type="dxa"/>
        </w:tblCellMar>
        <w:tblLook w:val="0000" w:firstRow="0" w:lastRow="0" w:firstColumn="0" w:lastColumn="0" w:noHBand="0" w:noVBand="0"/>
      </w:tblPr>
      <w:tblGrid>
        <w:gridCol w:w="9026"/>
      </w:tblGrid>
      <w:tr w:rsidR="005F1EF0" w:rsidTr="008D2625" w14:paraId="3B17FA71" w14:textId="77777777">
        <w:tc>
          <w:tcPr>
            <w:tcW w:w="9026" w:type="dxa"/>
            <w:tcBorders>
              <w:left w:val="single" w:color="B4B2A9" w:sz="18" w:space="0"/>
            </w:tcBorders>
            <w:shd w:val="clear" w:color="auto" w:fill="F8F7F4"/>
            <w:tcMar>
              <w:top w:w="160" w:type="dxa"/>
              <w:left w:w="280" w:type="dxa"/>
              <w:bottom w:w="120" w:type="dxa"/>
              <w:right w:w="200" w:type="dxa"/>
            </w:tcMar>
          </w:tcPr>
          <w:p w:rsidR="005F1EF0" w:rsidP="008D2625" w:rsidRDefault="005F1EF0" w14:paraId="3B17FA6F" w14:textId="77777777">
            <w:pPr>
              <w:spacing w:after="60"/>
              <w:jc w:val="both"/>
            </w:pPr>
            <w:r>
              <w:rPr>
                <w:i/>
                <w:color w:val="555555"/>
                <w:sz w:val="21"/>
                <w:szCs w:val="21"/>
              </w:rPr>
              <w:t>“En Línea Directa usamos cada vez más modelos de inteligencia artificial para tomar decisiones. Pero un modelo de IA solo es tan bueno como los datos con los que se entrena. Si el dato tiene inconsistencias, duplicidades o reglas de calidad no verificadas, el modelo las hereda. Este proyecto es la base sobre la que todos nuestros proyectos de IA se van a apoyar.”</w:t>
            </w:r>
          </w:p>
          <w:p w:rsidR="005F1EF0" w:rsidP="008D2625" w:rsidRDefault="005F1EF0" w14:paraId="3B17FA70" w14:textId="77777777">
            <w:pPr>
              <w:spacing w:before="60"/>
            </w:pPr>
            <w:r>
              <w:rPr>
                <w:rFonts w:ascii="Arial" w:hAnsi="Arial" w:cs="Arial"/>
                <w:color w:val="888888"/>
                <w:sz w:val="17"/>
                <w:szCs w:val="17"/>
              </w:rPr>
              <w:t>— Responsable de Analítica Avanzada, Línea Directa Aseguradora</w:t>
            </w:r>
          </w:p>
        </w:tc>
      </w:tr>
    </w:tbl>
    <w:p w:rsidR="005F1EF0" w:rsidP="005F1EF0" w:rsidRDefault="005F1EF0" w14:paraId="3B17FA72" w14:textId="77777777">
      <w:pPr>
        <w:spacing w:before="200"/>
      </w:pPr>
    </w:p>
    <w:p w:rsidR="005F1EF0" w:rsidP="005F1EF0" w:rsidRDefault="005F1EF0" w14:paraId="3B17FA73" w14:textId="3DF4BEE2">
      <w:pPr>
        <w:spacing w:after="180"/>
        <w:jc w:val="both"/>
        <w:rPr>
          <w:kern w:val="2"/>
          <w14:ligatures w14:val="standardContextual"/>
        </w:rPr>
      </w:pPr>
      <w:r>
        <w:t xml:space="preserve">La conexión con el resto de la agenda de transformación de la compañía es directa. El proyecto de CRM, que aspira a ofrecer una visión 360 del cliente en tiempo real, depende de que el dominio de datos de clientes esté perfectamente gobernado. Los modelos de propensión y los sistemas de recomendación NBO que impulsarán la venta cruzada requieren datos de calidad certificada. La capa de </w:t>
      </w:r>
      <w:proofErr w:type="spellStart"/>
      <w:r>
        <w:t>reporting</w:t>
      </w:r>
      <w:proofErr w:type="spellEnd"/>
      <w:r>
        <w:t xml:space="preserve"> oficial que recibirán todos los equipos de negocio tiene que nacer de una única fuente certificada. El Gobierno del Dato no es un proyecto de infraestructura: es el proyecto habilitador de la compañía digital que Línea Directa quiere ser.</w:t>
      </w:r>
    </w:p>
    <w:p w:rsidR="005F1EF0" w:rsidP="005F1EF0" w:rsidRDefault="005F1EF0" w14:paraId="7AEC3387" w14:textId="77777777">
      <w:pPr>
        <w:spacing w:after="240"/>
        <w:jc w:val="both"/>
        <w:rPr>
          <w:kern w:val="2"/>
          <w14:ligatures w14:val="standardContextual"/>
        </w:rPr>
      </w:pPr>
      <w:r>
        <w:t xml:space="preserve">El </w:t>
      </w:r>
      <w:proofErr w:type="spellStart"/>
      <w:r>
        <w:t>roadmap</w:t>
      </w:r>
      <w:proofErr w:type="spellEnd"/>
      <w:r>
        <w:t xml:space="preserve"> es ambicioso pero concreto. En 2025 —año en el que el proyecto se puso en marcha— la compañía identificó sus dominios de datos, aprobó por el Consejo las políticas y normas de gobierno, implantó el modelo en el dominio de Calidad como caso piloto y lanzó el Programa PI 2.0 a toda la comunidad analítica. En 2026, la transformación entra en una nueva fase y avanza a través de dos líneas de trabajo coordinadas y de la misma relevancia estratégica. Por un lado, la iniciativa de Gobierno del Dato define e implanta el modelo organizativo y el modelo operativo, asigna roles de Data Owner, Data Steward y Data Custodian en cada dominio y comienza a gobernar los primeros ámbitos que servirán de base para su construcción en la nueva plataforma. De forma complementaria, se diseña un </w:t>
      </w:r>
      <w:proofErr w:type="spellStart"/>
      <w:r>
        <w:t>Development</w:t>
      </w:r>
      <w:proofErr w:type="spellEnd"/>
      <w:r>
        <w:t xml:space="preserve"> Center para la comunidad PI, concebido para preparar a los analistas ante el nuevo modelo operativo y las nuevas capacidades analíticas y de </w:t>
      </w:r>
      <w:proofErr w:type="spellStart"/>
      <w:r>
        <w:t>reporting</w:t>
      </w:r>
      <w:proofErr w:type="spellEnd"/>
      <w:r>
        <w:t xml:space="preserve"> que incorporará el nuevo entorno. Por otro lado, la implantación de la nueva plataforma de datos habilita una única fuente de la verdad y pone a disposición tanto de la comunidad analítica como de la función de Gobierno del Dato las herramientas necesarias para explotar la información de forma gobernada. Ambas líneas avanzan de manera interdependiente: los progresos en una condicionan directamente la evolución de la otra y, precisamente por ello, su coordinación será uno de los factores críticos de éxito de la transformación.</w:t>
      </w:r>
    </w:p>
    <w:p w:rsidR="005F1EF0" w:rsidP="005F1EF0" w:rsidRDefault="005F1EF0" w14:paraId="4B16AF97" w14:textId="347557FE">
      <w:pPr>
        <w:spacing w:after="240"/>
        <w:jc w:val="both"/>
      </w:pPr>
      <w:r>
        <w:lastRenderedPageBreak/>
        <w:t>La modernización de la infraestructura analítica abre además dos oportunidades que van más allá del orden interno. La primera es la atracción de talento: un ecosistema moderno —</w:t>
      </w:r>
      <w:proofErr w:type="spellStart"/>
      <w:r>
        <w:t>Databricks</w:t>
      </w:r>
      <w:proofErr w:type="spellEnd"/>
      <w:r>
        <w:t xml:space="preserve">, Python, Power BI, arquitecturas </w:t>
      </w:r>
      <w:proofErr w:type="spellStart"/>
      <w:r>
        <w:t>cloud</w:t>
      </w:r>
      <w:proofErr w:type="spellEnd"/>
      <w:r>
        <w:t xml:space="preserve">— es hoy un requisito para los perfiles analíticos más cualificados del mercado. La dependencia del SAS como herramienta única limita el tipo de profesional que puede incorporarse o desarrollarse en la compañía; la nueva plataforma amplía ese espacio de forma significativa. La segunda es el acceso a datos que hoy están aislados: los datos de navegación web, los del </w:t>
      </w:r>
      <w:proofErr w:type="spellStart"/>
      <w:r>
        <w:t>cotizador</w:t>
      </w:r>
      <w:proofErr w:type="spellEnd"/>
      <w:r>
        <w:t xml:space="preserve"> y las interacciones digitales conviven con los datos operacionales de pólizas y siniestros sin que sea posible cruzarlos de forma sistemática.</w:t>
      </w:r>
    </w:p>
    <w:p w:rsidR="005F1EF0" w:rsidP="005F1EF0" w:rsidRDefault="005F1EF0" w14:paraId="3B17FA75" w14:textId="77777777">
      <w:pPr>
        <w:pBdr>
          <w:bottom w:val="single" w:color="D3D1C7" w:sz="1" w:space="1"/>
        </w:pBdr>
        <w:spacing w:after="240"/>
      </w:pPr>
    </w:p>
    <w:p w:rsidR="005F1EF0" w:rsidP="005F1EF0" w:rsidRDefault="005F1EF0" w14:paraId="3B17FA76" w14:textId="77777777">
      <w:pPr>
        <w:spacing w:after="200"/>
      </w:pPr>
      <w:r>
        <w:rPr>
          <w:rFonts w:ascii="Arial" w:hAnsi="Arial" w:cs="Arial"/>
          <w:color w:val="888888"/>
          <w:sz w:val="16"/>
          <w:szCs w:val="16"/>
        </w:rPr>
        <w:t>PREGUNTAS Y RESPUESTAS INTERNAS</w:t>
      </w:r>
    </w:p>
    <w:p w:rsidR="005F1EF0" w:rsidP="005F1EF0" w:rsidRDefault="005F1EF0" w14:paraId="3B17FA77" w14:textId="77777777">
      <w:pPr>
        <w:spacing w:before="200" w:after="80"/>
      </w:pPr>
      <w:r>
        <w:rPr>
          <w:rFonts w:ascii="Arial" w:hAnsi="Arial" w:cs="Arial"/>
          <w:b/>
        </w:rPr>
        <w:t>¿Por qué ahora, si el dato operacional ya es bueno?</w:t>
      </w:r>
    </w:p>
    <w:p w:rsidR="005F1EF0" w:rsidP="005F1EF0" w:rsidRDefault="005F1EF0" w14:paraId="3B17FA78" w14:textId="77777777">
      <w:pPr>
        <w:spacing w:after="60"/>
        <w:jc w:val="both"/>
      </w:pPr>
      <w:r>
        <w:rPr>
          <w:color w:val="555555"/>
          <w:sz w:val="21"/>
          <w:szCs w:val="21"/>
        </w:rPr>
        <w:t>Porque el dato operacional es la materia prima, pero la capa analítica es donde se transforma en valor. Y esa capa ha crecido de forma orgánica durante años, sin gobierno, sin estándares y sin plataforma única. El crecimiento de la IA en la compañía hace urgente resolver esto: cuanto más tarde, más modelos habrán sido entrenados sobre datos no certificados.</w:t>
      </w:r>
    </w:p>
    <w:p w:rsidR="005F1EF0" w:rsidP="005F1EF0" w:rsidRDefault="005F1EF0" w14:paraId="3B17FA79" w14:textId="77777777">
      <w:pPr>
        <w:spacing w:before="200" w:after="80"/>
      </w:pPr>
      <w:r>
        <w:rPr>
          <w:rFonts w:ascii="Arial" w:hAnsi="Arial" w:cs="Arial"/>
          <w:b/>
        </w:rPr>
        <w:t>¿Qué cambia para el colectivo PI?</w:t>
      </w:r>
    </w:p>
    <w:p w:rsidR="005F1EF0" w:rsidP="005F1EF0" w:rsidRDefault="005F1EF0" w14:paraId="3B17FA7A" w14:textId="714BCBF3">
      <w:pPr>
        <w:spacing w:after="60"/>
        <w:jc w:val="both"/>
        <w:rPr>
          <w:kern w:val="2"/>
          <w14:ligatures w14:val="standardContextual"/>
        </w:rPr>
      </w:pPr>
      <w:r>
        <w:rPr>
          <w:color w:val="555555"/>
          <w:sz w:val="21"/>
          <w:szCs w:val="21"/>
        </w:rPr>
        <w:t xml:space="preserve">Cambia mucho, y en positivo. Los analistas pasan de ser usuarios de una sola herramienta —SAS— a dominar un ecosistema moderno: Python, Power BI, </w:t>
      </w:r>
      <w:proofErr w:type="spellStart"/>
      <w:r>
        <w:rPr>
          <w:color w:val="555555"/>
          <w:sz w:val="21"/>
          <w:szCs w:val="21"/>
        </w:rPr>
        <w:t>Lakehouse</w:t>
      </w:r>
      <w:proofErr w:type="spellEnd"/>
      <w:r>
        <w:rPr>
          <w:color w:val="555555"/>
          <w:sz w:val="21"/>
          <w:szCs w:val="21"/>
        </w:rPr>
        <w:t xml:space="preserve"> sobre </w:t>
      </w:r>
      <w:proofErr w:type="spellStart"/>
      <w:r>
        <w:rPr>
          <w:color w:val="555555"/>
          <w:sz w:val="21"/>
          <w:szCs w:val="21"/>
        </w:rPr>
        <w:t>Databricks</w:t>
      </w:r>
      <w:proofErr w:type="spellEnd"/>
      <w:r>
        <w:rPr>
          <w:color w:val="555555"/>
          <w:sz w:val="21"/>
          <w:szCs w:val="21"/>
        </w:rPr>
        <w:t>. Algunos asumirán roles formales de Data Owner, Data Steward o Data Custodian en sus dominios. El equipo de Personas y Gobierno del dato, a través del Programa PI 2.0 garantiza que nadie haga este camino solo: hay itinerarios formativos por nivel y especialidad, con acompañamiento continuo.</w:t>
      </w:r>
    </w:p>
    <w:p w:rsidR="005F1EF0" w:rsidP="005F1EF0" w:rsidRDefault="005F1EF0" w14:paraId="3B17FA7B" w14:textId="77777777">
      <w:pPr>
        <w:spacing w:before="200" w:after="80"/>
      </w:pPr>
      <w:r>
        <w:rPr>
          <w:rFonts w:ascii="Arial" w:hAnsi="Arial" w:cs="Arial"/>
          <w:b/>
        </w:rPr>
        <w:t>¿Qué es exactamente un dominio de datos y quién decide sobre él?</w:t>
      </w:r>
    </w:p>
    <w:p w:rsidR="005F1EF0" w:rsidP="005F1EF0" w:rsidRDefault="005F1EF0" w14:paraId="3B17FA7C" w14:textId="03DC200B">
      <w:pPr>
        <w:spacing w:after="60"/>
        <w:jc w:val="both"/>
        <w:rPr>
          <w:kern w:val="2"/>
          <w14:ligatures w14:val="standardContextual"/>
        </w:rPr>
      </w:pPr>
      <w:r>
        <w:rPr>
          <w:color w:val="555555"/>
          <w:sz w:val="21"/>
          <w:szCs w:val="21"/>
        </w:rPr>
        <w:t>Un dominio de datos es una agrupación lógica de datos que representa un concepto de negocio clave —clientes, pólizas, siniestros, calidad— definida por el significado del dato, no por el área organizativa. El Data Owner es el responsable de negocio que responde por la calidad e integridad de ese dominio. El Data Steward lo gestiona en el día a día. El Data Custodian garantiza la implementación técnica. Nadie es dueño del dato porque trabaje con él: es dueño porque se ha comprometido a responder por él.</w:t>
      </w:r>
    </w:p>
    <w:p w:rsidR="005F1EF0" w:rsidP="005F1EF0" w:rsidRDefault="005F1EF0" w14:paraId="3B17FA7D" w14:textId="77777777">
      <w:pPr>
        <w:spacing w:before="200" w:after="80"/>
      </w:pPr>
      <w:r>
        <w:rPr>
          <w:rFonts w:ascii="Arial" w:hAnsi="Arial" w:cs="Arial"/>
          <w:b/>
        </w:rPr>
        <w:t>¿Qué ocurre con los informes y cuadros de mando actuales?</w:t>
      </w:r>
    </w:p>
    <w:p w:rsidR="005F1EF0" w:rsidP="005F1EF0" w:rsidRDefault="005F1EF0" w14:paraId="3B17FA7E" w14:textId="2EC5F5BA">
      <w:pPr>
        <w:spacing w:after="60"/>
        <w:jc w:val="both"/>
        <w:rPr>
          <w:kern w:val="2"/>
          <w14:ligatures w14:val="standardContextual"/>
        </w:rPr>
      </w:pPr>
      <w:r>
        <w:rPr>
          <w:color w:val="555555"/>
          <w:sz w:val="21"/>
          <w:szCs w:val="21"/>
        </w:rPr>
        <w:t>El mapa de informes va a cambiar, y las áreas deben saberlo desde el principio. El proyecto auditará el universo de informes existentes: algunos se mantendrán en el nuevo modelo oficial, muchos se consolidarán porque distintas áreas estaban produciendo versiones diferentes del mismo informe, y otros se eliminarán porque dejaron de ser necesarios, pero nadie los dio de baja. Los informes que se eliminen serán aquellos que no superen la validación de uso y valor; los que se consoliden se reemplazarán por versiones oficiales en la nueva plataforma. La transición es progresiva —no se elimina nada sin comunicarlo con antelación y sin construir el sustituto validado y certificado— pero sí implica un cambio real para las áreas acostumbradas a usar determinados informes en su operativa diaria. Gestionarlo bien es parte del plan.</w:t>
      </w:r>
    </w:p>
    <w:p w:rsidR="005F1EF0" w:rsidP="005F1EF0" w:rsidRDefault="005F1EF0" w14:paraId="3B17FA7F" w14:textId="77777777">
      <w:pPr>
        <w:spacing w:before="200" w:after="80"/>
      </w:pPr>
      <w:r>
        <w:rPr>
          <w:rFonts w:ascii="Arial" w:hAnsi="Arial" w:cs="Arial"/>
          <w:b/>
        </w:rPr>
        <w:t>¿Cómo se asegura la calidad del dato en la práctica?</w:t>
      </w:r>
    </w:p>
    <w:p w:rsidR="005F1EF0" w:rsidP="005F1EF0" w:rsidRDefault="005F1EF0" w14:paraId="3B17FA80" w14:textId="7B70AF18">
      <w:pPr>
        <w:spacing w:after="60"/>
        <w:jc w:val="both"/>
        <w:rPr>
          <w:color w:val="555555"/>
          <w:sz w:val="21"/>
          <w:szCs w:val="21"/>
        </w:rPr>
      </w:pPr>
      <w:r>
        <w:rPr>
          <w:color w:val="555555"/>
          <w:sz w:val="21"/>
          <w:szCs w:val="21"/>
        </w:rPr>
        <w:t>Con reglas documentadas, medidas y monitorizadas. Para cada dato crítico, se define lo que significa tener buena calidad utilizando las reglas establecidas en la política de gobierno de datos (completitud, exactitud, consistencia, validez, unicidad, actualidad), se establece un umbral aceptable y se automatiza su medición. El incumplimiento genera una incidencia que tiene un responsable y un tiempo máximo de resolución. No hay calidad declarada sin calidad medida.</w:t>
      </w:r>
    </w:p>
    <w:p w:rsidR="005F1EF0" w:rsidP="005F1EF0" w:rsidRDefault="005F1EF0" w14:paraId="638FA8D1" w14:textId="77777777">
      <w:pPr>
        <w:spacing w:after="60"/>
        <w:jc w:val="both"/>
        <w:rPr>
          <w:color w:val="555555"/>
          <w:sz w:val="21"/>
          <w:szCs w:val="21"/>
        </w:rPr>
      </w:pPr>
    </w:p>
    <w:p w:rsidR="005F1EF0" w:rsidP="005F1EF0" w:rsidRDefault="005F1EF0" w14:paraId="194C4826" w14:textId="77777777">
      <w:pPr>
        <w:spacing w:after="60"/>
        <w:jc w:val="both"/>
        <w:rPr>
          <w:kern w:val="2"/>
          <w14:ligatures w14:val="standardContextual"/>
        </w:rPr>
      </w:pPr>
    </w:p>
    <w:p w:rsidR="005F1EF0" w:rsidP="005F1EF0" w:rsidRDefault="005F1EF0" w14:paraId="3B17FA81" w14:textId="77777777">
      <w:pPr>
        <w:spacing w:before="200" w:after="80"/>
      </w:pPr>
      <w:r>
        <w:rPr>
          <w:rFonts w:ascii="Arial" w:hAnsi="Arial" w:cs="Arial"/>
          <w:b/>
        </w:rPr>
        <w:lastRenderedPageBreak/>
        <w:t>¿Cómo se relaciona este proyecto con el CRM y con la IA?</w:t>
      </w:r>
    </w:p>
    <w:p w:rsidR="005F1EF0" w:rsidP="005F1EF0" w:rsidRDefault="005F1EF0" w14:paraId="3B17FA82" w14:textId="77777777">
      <w:pPr>
        <w:spacing w:after="60"/>
        <w:jc w:val="both"/>
      </w:pPr>
      <w:r>
        <w:rPr>
          <w:color w:val="555555"/>
          <w:sz w:val="21"/>
          <w:szCs w:val="21"/>
        </w:rPr>
        <w:t>El CRM necesita que el dominio de datos de clientes esté gobernado para poder ofrecer una visión 360 fiable. Los modelos de IA necesitan datos de calidad certificada para que sus predicciones sean de confianza. Sin gobierno del dato, ni el CRM puede cumplir su promesa ni los modelos de IA pueden operar con garantías. Este proyecto es, en ese sentido, el suelo sobre el que se construye todo lo demás.</w:t>
      </w:r>
    </w:p>
    <w:p w:rsidR="005F1EF0" w:rsidP="005F1EF0" w:rsidRDefault="005F1EF0" w14:paraId="3B17FA83" w14:textId="77777777">
      <w:pPr>
        <w:pBdr>
          <w:bottom w:val="single" w:color="D3D1C7" w:sz="1" w:space="1"/>
        </w:pBdr>
        <w:spacing w:before="200" w:after="240"/>
      </w:pPr>
    </w:p>
    <w:p w:rsidR="005F1EF0" w:rsidP="005F1EF0" w:rsidRDefault="005F1EF0" w14:paraId="3B17FA84" w14:textId="77777777">
      <w:pPr>
        <w:spacing w:after="120"/>
      </w:pPr>
      <w:r>
        <w:rPr>
          <w:rFonts w:ascii="Arial" w:hAnsi="Arial" w:cs="Arial"/>
          <w:color w:val="888888"/>
          <w:sz w:val="16"/>
          <w:szCs w:val="16"/>
        </w:rPr>
        <w:t>OBJETIVOS CUANTITATIVOS DEL PROYECTO</w:t>
      </w:r>
    </w:p>
    <w:p w:rsidR="005F1EF0" w:rsidP="005F1EF0" w:rsidRDefault="005F1EF0" w14:paraId="3B17FA85" w14:textId="77777777">
      <w:pPr>
        <w:spacing w:after="160"/>
      </w:pPr>
      <w:r>
        <w:rPr>
          <w:rFonts w:ascii="Arial" w:hAnsi="Arial" w:cs="Arial"/>
          <w:b/>
          <w:sz w:val="30"/>
          <w:szCs w:val="30"/>
        </w:rPr>
        <w:t>El éxito se mide en dominios gobernados, analistas formados y plataforma en producción</w:t>
      </w:r>
    </w:p>
    <w:p w:rsidR="005F1EF0" w:rsidP="005F1EF0" w:rsidRDefault="005F1EF0" w14:paraId="3B17FA86" w14:textId="77777777">
      <w:pPr>
        <w:spacing w:after="280"/>
        <w:jc w:val="both"/>
        <w:rPr>
          <w:i/>
          <w:color w:val="555555"/>
        </w:rPr>
      </w:pPr>
      <w:r>
        <w:rPr>
          <w:i/>
          <w:color w:val="555555"/>
        </w:rPr>
        <w:t>Los siguientes indicadores definen el umbral de éxito del proyecto en su horizonte 2025–2026, y serán la referencia de seguimiento en cada revisión de negocio.</w:t>
      </w:r>
    </w:p>
    <w:p w:rsidR="005F1EF0" w:rsidP="005F1EF0" w:rsidRDefault="005F1EF0" w14:paraId="4A31D478" w14:textId="77777777">
      <w:pPr>
        <w:spacing w:before="200" w:after="100"/>
      </w:pPr>
      <w:r>
        <w:rPr>
          <w:rFonts w:ascii="Arial" w:hAnsi="Arial" w:cs="Arial"/>
          <w:b/>
          <w:sz w:val="16"/>
          <w:szCs w:val="16"/>
        </w:rPr>
        <w:t>OBJETIVOS DE NEGOCIO</w:t>
      </w:r>
    </w:p>
    <w:tbl>
      <w:tblPr>
        <w:tblW w:w="9026" w:type="dxa"/>
        <w:tblLook w:val="04A0" w:firstRow="1" w:lastRow="0" w:firstColumn="1" w:lastColumn="0" w:noHBand="0" w:noVBand="1"/>
      </w:tblPr>
      <w:tblGrid>
        <w:gridCol w:w="5826"/>
        <w:gridCol w:w="3200"/>
      </w:tblGrid>
      <w:tr w:rsidR="005F1EF0" w:rsidTr="008D2625" w14:paraId="7389AC7E" w14:textId="77777777">
        <w:trPr>
          <w:tblHeader/>
        </w:trPr>
        <w:tc>
          <w:tcPr>
            <w:tcW w:w="5826" w:type="dxa"/>
            <w:shd w:val="clear" w:color="auto" w:fill="2C2C2A"/>
            <w:tcMar>
              <w:top w:w="80" w:type="dxa"/>
              <w:left w:w="140" w:type="dxa"/>
              <w:bottom w:w="80" w:type="dxa"/>
              <w:right w:w="100" w:type="dxa"/>
            </w:tcMar>
          </w:tcPr>
          <w:p w:rsidR="005F1EF0" w:rsidP="008D2625" w:rsidRDefault="005F1EF0" w14:paraId="74B0E6EB" w14:textId="77777777">
            <w:pPr>
              <w:spacing w:before="80" w:after="80"/>
            </w:pPr>
            <w:r>
              <w:rPr>
                <w:rFonts w:ascii="Arial" w:hAnsi="Arial" w:cs="Arial"/>
                <w:b/>
                <w:color w:val="FFFFFF"/>
                <w:sz w:val="18"/>
                <w:szCs w:val="18"/>
              </w:rPr>
              <w:t>Indicador de negocio</w:t>
            </w:r>
          </w:p>
        </w:tc>
        <w:tc>
          <w:tcPr>
            <w:tcW w:w="3200" w:type="dxa"/>
            <w:shd w:val="clear" w:color="auto" w:fill="2C2C2A"/>
            <w:tcMar>
              <w:top w:w="80" w:type="dxa"/>
              <w:left w:w="140" w:type="dxa"/>
              <w:bottom w:w="80" w:type="dxa"/>
              <w:right w:w="100" w:type="dxa"/>
            </w:tcMar>
          </w:tcPr>
          <w:p w:rsidR="005F1EF0" w:rsidP="008D2625" w:rsidRDefault="005F1EF0" w14:paraId="4197B1B8" w14:textId="77777777">
            <w:pPr>
              <w:spacing w:before="80" w:after="80"/>
            </w:pPr>
            <w:r>
              <w:rPr>
                <w:rFonts w:ascii="Arial" w:hAnsi="Arial" w:cs="Arial"/>
                <w:b/>
                <w:color w:val="FFFFFF"/>
                <w:sz w:val="18"/>
                <w:szCs w:val="18"/>
              </w:rPr>
              <w:t>Objetivo</w:t>
            </w:r>
          </w:p>
        </w:tc>
      </w:tr>
      <w:tr w:rsidR="005F1EF0" w:rsidTr="008D2625" w14:paraId="2BBA3013" w14:textId="77777777">
        <w:tc>
          <w:tcPr>
            <w:tcW w:w="58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03AB5703" w14:textId="77777777">
            <w:pPr>
              <w:spacing w:before="80" w:after="80"/>
            </w:pPr>
            <w:r>
              <w:rPr>
                <w:b/>
                <w:sz w:val="18"/>
                <w:szCs w:val="18"/>
              </w:rPr>
              <w:t>Reducción del número de informes manuales recurrentes (consolidación y automatización)</w:t>
            </w:r>
          </w:p>
        </w:tc>
        <w:tc>
          <w:tcPr>
            <w:tcW w:w="32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Pr="00C11808" w:rsidR="005F1EF0" w:rsidP="008D2625" w:rsidRDefault="005F1EF0" w14:paraId="5F35BDAB" w14:textId="77777777">
            <w:pPr>
              <w:spacing w:before="80" w:after="80"/>
              <w:jc w:val="center"/>
              <w:rPr>
                <w:highlight w:val="yellow"/>
              </w:rPr>
            </w:pPr>
            <w:r w:rsidRPr="00C11808">
              <w:rPr>
                <w:sz w:val="18"/>
                <w:szCs w:val="18"/>
                <w:highlight w:val="yellow"/>
              </w:rPr>
              <w:t>TBD — línea base a medir en fase AS-IS</w:t>
            </w:r>
          </w:p>
        </w:tc>
      </w:tr>
      <w:tr w:rsidR="005F1EF0" w:rsidTr="008D2625" w14:paraId="360CEDE4" w14:textId="77777777">
        <w:tc>
          <w:tcPr>
            <w:tcW w:w="58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20D31269" w14:textId="77777777">
            <w:pPr>
              <w:spacing w:before="80" w:after="80"/>
            </w:pPr>
            <w:r>
              <w:rPr>
                <w:b/>
                <w:sz w:val="18"/>
                <w:szCs w:val="18"/>
              </w:rPr>
              <w:t>SLA máximo para la creación de un nuevo informe oficial</w:t>
            </w:r>
          </w:p>
        </w:tc>
        <w:tc>
          <w:tcPr>
            <w:tcW w:w="32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Pr="00C11808" w:rsidR="005F1EF0" w:rsidP="008D2625" w:rsidRDefault="005F1EF0" w14:paraId="5C7600E3" w14:textId="77777777">
            <w:pPr>
              <w:spacing w:before="80" w:after="80"/>
              <w:jc w:val="center"/>
              <w:rPr>
                <w:highlight w:val="yellow"/>
              </w:rPr>
            </w:pPr>
            <w:r w:rsidRPr="00C11808">
              <w:rPr>
                <w:sz w:val="18"/>
                <w:szCs w:val="18"/>
                <w:highlight w:val="yellow"/>
              </w:rPr>
              <w:t>TBD (referencia de mercado: 2–4 semanas)</w:t>
            </w:r>
          </w:p>
        </w:tc>
      </w:tr>
      <w:tr w:rsidR="005F1EF0" w:rsidTr="008D2625" w14:paraId="0265AD4E" w14:textId="77777777">
        <w:tc>
          <w:tcPr>
            <w:tcW w:w="58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290F0D1C" w14:textId="77777777">
            <w:pPr>
              <w:spacing w:before="80" w:after="80"/>
            </w:pPr>
            <w:r>
              <w:rPr>
                <w:b/>
                <w:sz w:val="18"/>
                <w:szCs w:val="18"/>
              </w:rPr>
              <w:t>Reducción del % de métricas con versiones divergentes entre áreas</w:t>
            </w:r>
          </w:p>
        </w:tc>
        <w:tc>
          <w:tcPr>
            <w:tcW w:w="32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Pr="00C11808" w:rsidR="005F1EF0" w:rsidP="008D2625" w:rsidRDefault="005F1EF0" w14:paraId="4176B760" w14:textId="77777777">
            <w:pPr>
              <w:spacing w:before="80" w:after="80"/>
              <w:jc w:val="center"/>
              <w:rPr>
                <w:highlight w:val="yellow"/>
              </w:rPr>
            </w:pPr>
            <w:r w:rsidRPr="00C11808">
              <w:rPr>
                <w:sz w:val="18"/>
                <w:szCs w:val="18"/>
                <w:highlight w:val="yellow"/>
              </w:rPr>
              <w:t>TBD — objetivo: una sola versión por métrica</w:t>
            </w:r>
          </w:p>
        </w:tc>
      </w:tr>
      <w:tr w:rsidR="005F1EF0" w:rsidTr="008D2625" w14:paraId="0F1654FF" w14:textId="77777777">
        <w:tc>
          <w:tcPr>
            <w:tcW w:w="58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11B62B22" w14:textId="77777777">
            <w:pPr>
              <w:spacing w:before="80" w:after="80"/>
            </w:pPr>
            <w:r>
              <w:rPr>
                <w:b/>
                <w:sz w:val="18"/>
                <w:szCs w:val="18"/>
              </w:rPr>
              <w:t>% de informes recurrentes automatizados sobre el total</w:t>
            </w:r>
          </w:p>
        </w:tc>
        <w:tc>
          <w:tcPr>
            <w:tcW w:w="32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Pr="00C11808" w:rsidR="005F1EF0" w:rsidP="008D2625" w:rsidRDefault="005F1EF0" w14:paraId="14A167C3" w14:textId="77777777">
            <w:pPr>
              <w:spacing w:before="80" w:after="80"/>
              <w:jc w:val="center"/>
              <w:rPr>
                <w:highlight w:val="yellow"/>
              </w:rPr>
            </w:pPr>
            <w:r w:rsidRPr="00C11808">
              <w:rPr>
                <w:sz w:val="18"/>
                <w:szCs w:val="18"/>
                <w:highlight w:val="yellow"/>
              </w:rPr>
              <w:t>TBD</w:t>
            </w:r>
          </w:p>
        </w:tc>
      </w:tr>
      <w:tr w:rsidR="005F1EF0" w:rsidTr="008D2625" w14:paraId="735981E5" w14:textId="77777777">
        <w:tc>
          <w:tcPr>
            <w:tcW w:w="58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66C7741B" w14:textId="77777777">
            <w:pPr>
              <w:spacing w:before="80" w:after="80"/>
            </w:pPr>
            <w:r>
              <w:rPr>
                <w:b/>
                <w:sz w:val="18"/>
                <w:szCs w:val="18"/>
              </w:rPr>
              <w:t>Reducción de horas/</w:t>
            </w:r>
            <w:proofErr w:type="gramStart"/>
            <w:r>
              <w:rPr>
                <w:b/>
                <w:sz w:val="18"/>
                <w:szCs w:val="18"/>
              </w:rPr>
              <w:t>persona dedicadas</w:t>
            </w:r>
            <w:proofErr w:type="gramEnd"/>
            <w:r>
              <w:rPr>
                <w:b/>
                <w:sz w:val="18"/>
                <w:szCs w:val="18"/>
              </w:rPr>
              <w:t xml:space="preserve"> a extracción y preparación manual de datos</w:t>
            </w:r>
          </w:p>
        </w:tc>
        <w:tc>
          <w:tcPr>
            <w:tcW w:w="32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Pr="00C11808" w:rsidR="005F1EF0" w:rsidP="008D2625" w:rsidRDefault="005F1EF0" w14:paraId="0CBE15DD" w14:textId="77777777">
            <w:pPr>
              <w:spacing w:before="80" w:after="80"/>
              <w:jc w:val="center"/>
              <w:rPr>
                <w:highlight w:val="yellow"/>
              </w:rPr>
            </w:pPr>
            <w:r w:rsidRPr="00C11808">
              <w:rPr>
                <w:sz w:val="18"/>
                <w:szCs w:val="18"/>
                <w:highlight w:val="yellow"/>
              </w:rPr>
              <w:t>TBD</w:t>
            </w:r>
          </w:p>
        </w:tc>
      </w:tr>
    </w:tbl>
    <w:p w:rsidR="005F1EF0" w:rsidP="005F1EF0" w:rsidRDefault="005F1EF0" w14:paraId="150519DD" w14:textId="77777777">
      <w:pPr>
        <w:spacing w:after="280"/>
        <w:jc w:val="both"/>
      </w:pPr>
    </w:p>
    <w:p w:rsidR="005F1EF0" w:rsidP="005F1EF0" w:rsidRDefault="005F1EF0" w14:paraId="3B17FA87" w14:textId="77777777">
      <w:pPr>
        <w:spacing w:after="100"/>
      </w:pPr>
      <w:r>
        <w:rPr>
          <w:rFonts w:ascii="Arial" w:hAnsi="Arial" w:cs="Arial"/>
          <w:b/>
          <w:color w:val="BE2A2A"/>
          <w:sz w:val="16"/>
          <w:szCs w:val="16"/>
        </w:rPr>
        <w:t>GOBIERNO DEL DATO</w:t>
      </w:r>
    </w:p>
    <w:tbl>
      <w:tblPr>
        <w:tblW w:w="9026" w:type="dxa"/>
        <w:tblCellMar>
          <w:left w:w="10" w:type="dxa"/>
          <w:right w:w="10" w:type="dxa"/>
        </w:tblCellMar>
        <w:tblLook w:val="0000" w:firstRow="0" w:lastRow="0" w:firstColumn="0" w:lastColumn="0" w:noHBand="0" w:noVBand="0"/>
      </w:tblPr>
      <w:tblGrid>
        <w:gridCol w:w="5074"/>
        <w:gridCol w:w="1976"/>
        <w:gridCol w:w="1976"/>
      </w:tblGrid>
      <w:tr w:rsidR="005F1EF0" w:rsidTr="008D2625" w14:paraId="5862D135" w14:textId="77777777">
        <w:trPr>
          <w:tblHeader/>
        </w:trPr>
        <w:tc>
          <w:tcPr>
            <w:tcW w:w="5074" w:type="dxa"/>
            <w:shd w:val="clear" w:color="auto" w:fill="BE2A2A"/>
            <w:tcMar>
              <w:top w:w="80" w:type="dxa"/>
              <w:left w:w="140" w:type="dxa"/>
              <w:bottom w:w="80" w:type="dxa"/>
              <w:right w:w="100" w:type="dxa"/>
            </w:tcMar>
          </w:tcPr>
          <w:p w:rsidR="005F1EF0" w:rsidP="008D2625" w:rsidRDefault="005F1EF0" w14:paraId="3B160A4E" w14:textId="77777777">
            <w:pPr>
              <w:spacing w:before="80" w:after="80"/>
            </w:pPr>
            <w:r>
              <w:rPr>
                <w:rFonts w:ascii="Arial" w:hAnsi="Arial" w:cs="Arial"/>
                <w:b/>
                <w:color w:val="FFFFFF"/>
                <w:sz w:val="18"/>
                <w:szCs w:val="18"/>
              </w:rPr>
              <w:t>Indicador</w:t>
            </w:r>
          </w:p>
        </w:tc>
        <w:tc>
          <w:tcPr>
            <w:tcW w:w="1976" w:type="dxa"/>
            <w:shd w:val="clear" w:color="auto" w:fill="BE2A2A"/>
            <w:tcMar>
              <w:top w:w="80" w:type="dxa"/>
              <w:left w:w="140" w:type="dxa"/>
              <w:bottom w:w="80" w:type="dxa"/>
              <w:right w:w="100" w:type="dxa"/>
            </w:tcMar>
          </w:tcPr>
          <w:p w:rsidR="005F1EF0" w:rsidP="008D2625" w:rsidRDefault="005F1EF0" w14:paraId="579614DF" w14:textId="77777777">
            <w:pPr>
              <w:spacing w:before="80" w:after="80"/>
              <w:jc w:val="center"/>
            </w:pPr>
            <w:r>
              <w:rPr>
                <w:rFonts w:ascii="Arial" w:hAnsi="Arial" w:cs="Arial"/>
                <w:b/>
                <w:color w:val="FFFFFF"/>
                <w:sz w:val="18"/>
                <w:szCs w:val="18"/>
              </w:rPr>
              <w:t>2025 (piloto)</w:t>
            </w:r>
          </w:p>
        </w:tc>
        <w:tc>
          <w:tcPr>
            <w:tcW w:w="1976" w:type="dxa"/>
            <w:shd w:val="clear" w:color="auto" w:fill="BE2A2A"/>
            <w:tcMar>
              <w:top w:w="80" w:type="dxa"/>
              <w:left w:w="140" w:type="dxa"/>
              <w:bottom w:w="80" w:type="dxa"/>
              <w:right w:w="100" w:type="dxa"/>
            </w:tcMar>
          </w:tcPr>
          <w:p w:rsidR="005F1EF0" w:rsidP="008D2625" w:rsidRDefault="005F1EF0" w14:paraId="33AB943E" w14:textId="77777777">
            <w:pPr>
              <w:spacing w:before="80" w:after="80"/>
              <w:jc w:val="center"/>
            </w:pPr>
            <w:r>
              <w:rPr>
                <w:rFonts w:ascii="Arial" w:hAnsi="Arial" w:cs="Arial"/>
                <w:b/>
                <w:color w:val="FFFFFF"/>
                <w:sz w:val="18"/>
                <w:szCs w:val="18"/>
              </w:rPr>
              <w:t>2026</w:t>
            </w:r>
          </w:p>
        </w:tc>
      </w:tr>
      <w:tr w:rsidR="005F1EF0" w:rsidTr="008D2625" w14:paraId="068D789C" w14:textId="77777777">
        <w:tc>
          <w:tcPr>
            <w:tcW w:w="5074"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6200D16B" w14:textId="77777777">
            <w:pPr>
              <w:spacing w:before="80" w:after="80"/>
            </w:pPr>
            <w:r>
              <w:rPr>
                <w:rFonts w:ascii="Arial" w:hAnsi="Arial" w:cs="Arial"/>
                <w:b/>
                <w:sz w:val="18"/>
                <w:szCs w:val="18"/>
              </w:rPr>
              <w:t>Dominios de datos identificados y clasificados</w:t>
            </w:r>
          </w:p>
        </w:tc>
        <w:tc>
          <w:tcPr>
            <w:tcW w:w="197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546ED6AD" w14:textId="77777777">
            <w:pPr>
              <w:spacing w:before="80" w:after="80"/>
              <w:jc w:val="center"/>
            </w:pPr>
            <w:r>
              <w:rPr>
                <w:rFonts w:ascii="Arial" w:hAnsi="Arial" w:cs="Arial"/>
                <w:sz w:val="18"/>
                <w:szCs w:val="18"/>
              </w:rPr>
              <w:t>13 dominios</w:t>
            </w:r>
          </w:p>
        </w:tc>
        <w:tc>
          <w:tcPr>
            <w:tcW w:w="197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Pr="00D80B86" w:rsidR="005F1EF0" w:rsidP="008D2625" w:rsidRDefault="005F1EF0" w14:paraId="3B2E9EC3" w14:textId="77777777">
            <w:pPr>
              <w:spacing w:before="80" w:after="80"/>
              <w:jc w:val="center"/>
              <w:rPr>
                <w:kern w:val="2"/>
                <w14:ligatures w14:val="standardContextual"/>
              </w:rPr>
            </w:pPr>
            <w:r>
              <w:rPr>
                <w:rFonts w:ascii="Arial" w:hAnsi="Arial" w:cs="Arial"/>
                <w:sz w:val="18"/>
                <w:szCs w:val="18"/>
              </w:rPr>
              <w:t>14 dominios y 9 subdominios</w:t>
            </w:r>
          </w:p>
        </w:tc>
      </w:tr>
      <w:tr w:rsidR="005F1EF0" w:rsidTr="008D2625" w14:paraId="1B80FF76" w14:textId="77777777">
        <w:tc>
          <w:tcPr>
            <w:tcW w:w="5074"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Pr="00D80B86" w:rsidR="005F1EF0" w:rsidP="008D2625" w:rsidRDefault="005F1EF0" w14:paraId="7C589D02" w14:textId="77777777">
            <w:pPr>
              <w:spacing w:before="80" w:after="80"/>
              <w:rPr>
                <w:kern w:val="2"/>
                <w14:ligatures w14:val="standardContextual"/>
              </w:rPr>
            </w:pPr>
            <w:r>
              <w:rPr>
                <w:rFonts w:ascii="Arial" w:hAnsi="Arial" w:cs="Arial"/>
                <w:b/>
                <w:bCs/>
                <w:sz w:val="18"/>
                <w:szCs w:val="18"/>
              </w:rPr>
              <w:t>Dominios y subdominios con Data Owner y Data Steward asignados</w:t>
            </w:r>
          </w:p>
        </w:tc>
        <w:tc>
          <w:tcPr>
            <w:tcW w:w="197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6E8C5999" w14:textId="77777777">
            <w:pPr>
              <w:spacing w:before="80" w:after="80"/>
              <w:jc w:val="center"/>
            </w:pPr>
            <w:r>
              <w:rPr>
                <w:rFonts w:ascii="Arial" w:hAnsi="Arial" w:cs="Arial"/>
                <w:sz w:val="18"/>
                <w:szCs w:val="18"/>
              </w:rPr>
              <w:t>1 (Calidad)</w:t>
            </w:r>
          </w:p>
        </w:tc>
        <w:tc>
          <w:tcPr>
            <w:tcW w:w="197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Pr="00D80B86" w:rsidR="005F1EF0" w:rsidP="008D2625" w:rsidRDefault="005F1EF0" w14:paraId="195636CC" w14:textId="77777777">
            <w:pPr>
              <w:spacing w:before="80" w:after="80"/>
              <w:jc w:val="center"/>
              <w:rPr>
                <w:rFonts w:ascii="Arial" w:hAnsi="Arial" w:cs="Arial"/>
                <w:sz w:val="18"/>
                <w:szCs w:val="18"/>
              </w:rPr>
            </w:pPr>
            <w:r>
              <w:rPr>
                <w:rFonts w:ascii="Arial" w:hAnsi="Arial" w:cs="Arial"/>
                <w:sz w:val="18"/>
                <w:szCs w:val="18"/>
              </w:rPr>
              <w:t>Todos</w:t>
            </w:r>
          </w:p>
        </w:tc>
      </w:tr>
      <w:tr w:rsidR="005F1EF0" w:rsidTr="008D2625" w14:paraId="5F986B6C" w14:textId="77777777">
        <w:tc>
          <w:tcPr>
            <w:tcW w:w="5074"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3ED5130E" w14:textId="77777777">
            <w:pPr>
              <w:spacing w:before="80" w:after="80"/>
            </w:pPr>
            <w:r>
              <w:rPr>
                <w:rFonts w:ascii="Arial" w:hAnsi="Arial" w:cs="Arial"/>
                <w:b/>
                <w:sz w:val="18"/>
                <w:szCs w:val="18"/>
              </w:rPr>
              <w:t>Normas específicas publicadas (calidad, seguridad, privacidad, catálogo...)</w:t>
            </w:r>
          </w:p>
        </w:tc>
        <w:tc>
          <w:tcPr>
            <w:tcW w:w="197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0F48DAFA" w14:textId="77777777">
            <w:pPr>
              <w:spacing w:before="80" w:after="80"/>
              <w:jc w:val="center"/>
            </w:pPr>
            <w:r>
              <w:rPr>
                <w:rFonts w:ascii="Arial" w:hAnsi="Arial" w:cs="Arial"/>
                <w:sz w:val="18"/>
                <w:szCs w:val="18"/>
              </w:rPr>
              <w:t>3 normas</w:t>
            </w:r>
          </w:p>
        </w:tc>
        <w:tc>
          <w:tcPr>
            <w:tcW w:w="197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790568F5" w14:textId="77777777">
            <w:pPr>
              <w:spacing w:before="80" w:after="80"/>
              <w:jc w:val="center"/>
            </w:pPr>
            <w:r>
              <w:rPr>
                <w:rFonts w:ascii="Arial" w:hAnsi="Arial" w:cs="Arial"/>
                <w:sz w:val="18"/>
                <w:szCs w:val="18"/>
              </w:rPr>
              <w:t>7 normas</w:t>
            </w:r>
          </w:p>
        </w:tc>
      </w:tr>
      <w:tr w:rsidR="005F1EF0" w:rsidTr="008D2625" w14:paraId="7FB350EB" w14:textId="77777777">
        <w:tc>
          <w:tcPr>
            <w:tcW w:w="5074"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Pr="00D80B86" w:rsidR="005F1EF0" w:rsidP="008D2625" w:rsidRDefault="005F1EF0" w14:paraId="755E0824" w14:textId="77777777">
            <w:pPr>
              <w:spacing w:before="80" w:after="80"/>
              <w:rPr>
                <w:rFonts w:ascii="Arial" w:hAnsi="Arial" w:cs="Arial"/>
                <w:b/>
                <w:bCs/>
                <w:sz w:val="18"/>
                <w:szCs w:val="18"/>
              </w:rPr>
            </w:pPr>
            <w:r>
              <w:rPr>
                <w:rFonts w:ascii="Arial" w:hAnsi="Arial" w:cs="Arial"/>
                <w:b/>
                <w:bCs/>
                <w:sz w:val="18"/>
                <w:szCs w:val="18"/>
              </w:rPr>
              <w:t>Glosario de negocio documentado en Axon</w:t>
            </w:r>
          </w:p>
        </w:tc>
        <w:tc>
          <w:tcPr>
            <w:tcW w:w="197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336B3B39" w14:textId="77777777">
            <w:pPr>
              <w:spacing w:before="80" w:after="80"/>
              <w:jc w:val="center"/>
            </w:pPr>
            <w:r>
              <w:rPr>
                <w:rFonts w:ascii="Arial" w:hAnsi="Arial" w:cs="Arial"/>
                <w:sz w:val="18"/>
                <w:szCs w:val="18"/>
              </w:rPr>
              <w:t>Dominio Calidad</w:t>
            </w:r>
          </w:p>
        </w:tc>
        <w:tc>
          <w:tcPr>
            <w:tcW w:w="197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33CBD426" w14:textId="77777777">
            <w:pPr>
              <w:spacing w:before="80" w:after="80"/>
              <w:jc w:val="center"/>
              <w:rPr>
                <w:kern w:val="2"/>
                <w14:ligatures w14:val="standardContextual"/>
              </w:rPr>
            </w:pPr>
            <w:r>
              <w:rPr>
                <w:rFonts w:ascii="Arial" w:hAnsi="Arial" w:cs="Arial"/>
                <w:sz w:val="18"/>
                <w:szCs w:val="18"/>
              </w:rPr>
              <w:t>Telefonía, TPA Salud, Digital</w:t>
            </w:r>
          </w:p>
          <w:p w:rsidR="005F1EF0" w:rsidP="008D2625" w:rsidRDefault="005F1EF0" w14:paraId="2D967280" w14:textId="77777777">
            <w:pPr>
              <w:spacing w:before="80" w:after="80"/>
              <w:jc w:val="center"/>
            </w:pPr>
          </w:p>
        </w:tc>
      </w:tr>
      <w:tr w:rsidR="005F1EF0" w:rsidTr="008D2625" w14:paraId="26FE724E" w14:textId="77777777">
        <w:tc>
          <w:tcPr>
            <w:tcW w:w="5074"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1D343EF6" w14:textId="77777777">
            <w:pPr>
              <w:spacing w:before="80" w:after="80"/>
            </w:pPr>
            <w:r>
              <w:rPr>
                <w:rFonts w:ascii="Arial" w:hAnsi="Arial" w:cs="Arial"/>
                <w:b/>
                <w:sz w:val="18"/>
                <w:szCs w:val="18"/>
              </w:rPr>
              <w:t>Ahorro por internalización Cuadro de Mando Calidad</w:t>
            </w:r>
          </w:p>
        </w:tc>
        <w:tc>
          <w:tcPr>
            <w:tcW w:w="197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786012F2" w14:textId="77777777">
            <w:pPr>
              <w:spacing w:before="80" w:after="80"/>
              <w:jc w:val="center"/>
            </w:pPr>
            <w:r>
              <w:rPr>
                <w:rFonts w:ascii="Arial" w:hAnsi="Arial" w:cs="Arial"/>
                <w:sz w:val="18"/>
                <w:szCs w:val="18"/>
              </w:rPr>
              <w:t>—</w:t>
            </w:r>
          </w:p>
        </w:tc>
        <w:tc>
          <w:tcPr>
            <w:tcW w:w="197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18C3B4DE" w14:textId="77777777">
            <w:pPr>
              <w:spacing w:before="80" w:after="80"/>
              <w:jc w:val="center"/>
            </w:pPr>
            <w:r>
              <w:rPr>
                <w:rFonts w:ascii="Arial" w:hAnsi="Arial" w:cs="Arial"/>
                <w:sz w:val="18"/>
                <w:szCs w:val="18"/>
              </w:rPr>
              <w:t>50 k€/año</w:t>
            </w:r>
          </w:p>
        </w:tc>
      </w:tr>
    </w:tbl>
    <w:p w:rsidR="005B0C32" w:rsidP="005F1EF0" w:rsidRDefault="005B0C32" w14:paraId="09D0F1C2" w14:textId="77777777">
      <w:pPr>
        <w:spacing w:after="100"/>
        <w:rPr>
          <w:rFonts w:ascii="Arial" w:hAnsi="Arial" w:cs="Arial"/>
          <w:b/>
          <w:sz w:val="16"/>
          <w:szCs w:val="16"/>
        </w:rPr>
      </w:pPr>
    </w:p>
    <w:p w:rsidR="005F1EF0" w:rsidP="005F1EF0" w:rsidRDefault="005F1EF0" w14:paraId="3B17FAA5" w14:textId="1EDFC68E">
      <w:pPr>
        <w:spacing w:after="100"/>
      </w:pPr>
      <w:r>
        <w:rPr>
          <w:rFonts w:ascii="Arial" w:hAnsi="Arial" w:cs="Arial"/>
          <w:b/>
          <w:sz w:val="16"/>
          <w:szCs w:val="16"/>
        </w:rPr>
        <w:lastRenderedPageBreak/>
        <w:t>PLATAFORMA ANALÍTICA</w:t>
      </w:r>
    </w:p>
    <w:tbl>
      <w:tblPr>
        <w:tblW w:w="9026" w:type="dxa"/>
        <w:tblCellMar>
          <w:left w:w="10" w:type="dxa"/>
          <w:right w:w="10" w:type="dxa"/>
        </w:tblCellMar>
        <w:tblLook w:val="0000" w:firstRow="0" w:lastRow="0" w:firstColumn="0" w:lastColumn="0" w:noHBand="0" w:noVBand="0"/>
      </w:tblPr>
      <w:tblGrid>
        <w:gridCol w:w="5074"/>
        <w:gridCol w:w="1976"/>
        <w:gridCol w:w="1976"/>
      </w:tblGrid>
      <w:tr w:rsidR="005F1EF0" w:rsidTr="008D2625" w14:paraId="52223517" w14:textId="77777777">
        <w:trPr>
          <w:tblHeader/>
        </w:trPr>
        <w:tc>
          <w:tcPr>
            <w:tcW w:w="3800" w:type="dxa"/>
            <w:shd w:val="clear" w:color="auto" w:fill="2C2C2A"/>
            <w:tcMar>
              <w:top w:w="80" w:type="dxa"/>
              <w:left w:w="140" w:type="dxa"/>
              <w:bottom w:w="80" w:type="dxa"/>
              <w:right w:w="100" w:type="dxa"/>
            </w:tcMar>
          </w:tcPr>
          <w:p w:rsidR="005F1EF0" w:rsidP="008D2625" w:rsidRDefault="005F1EF0" w14:paraId="0FBAC43F" w14:textId="77777777">
            <w:pPr>
              <w:spacing w:before="80" w:after="80"/>
            </w:pPr>
            <w:r>
              <w:rPr>
                <w:rFonts w:ascii="Arial" w:hAnsi="Arial" w:cs="Arial"/>
                <w:b/>
                <w:color w:val="FFFFFF"/>
                <w:sz w:val="18"/>
                <w:szCs w:val="18"/>
              </w:rPr>
              <w:t>Indicador</w:t>
            </w:r>
          </w:p>
        </w:tc>
        <w:tc>
          <w:tcPr>
            <w:tcW w:w="1480" w:type="dxa"/>
            <w:shd w:val="clear" w:color="auto" w:fill="2C2C2A"/>
            <w:tcMar>
              <w:top w:w="80" w:type="dxa"/>
              <w:left w:w="140" w:type="dxa"/>
              <w:bottom w:w="80" w:type="dxa"/>
              <w:right w:w="100" w:type="dxa"/>
            </w:tcMar>
          </w:tcPr>
          <w:p w:rsidR="005F1EF0" w:rsidP="008D2625" w:rsidRDefault="005F1EF0" w14:paraId="0B076A0D" w14:textId="77777777">
            <w:pPr>
              <w:spacing w:before="80" w:after="80"/>
              <w:jc w:val="center"/>
            </w:pPr>
            <w:r>
              <w:rPr>
                <w:rFonts w:ascii="Arial" w:hAnsi="Arial" w:cs="Arial"/>
                <w:b/>
                <w:color w:val="FFFFFF"/>
                <w:sz w:val="18"/>
                <w:szCs w:val="18"/>
              </w:rPr>
              <w:t>2025</w:t>
            </w:r>
          </w:p>
        </w:tc>
        <w:tc>
          <w:tcPr>
            <w:tcW w:w="1480" w:type="dxa"/>
            <w:shd w:val="clear" w:color="auto" w:fill="2C2C2A"/>
            <w:tcMar>
              <w:top w:w="80" w:type="dxa"/>
              <w:left w:w="140" w:type="dxa"/>
              <w:bottom w:w="80" w:type="dxa"/>
              <w:right w:w="100" w:type="dxa"/>
            </w:tcMar>
          </w:tcPr>
          <w:p w:rsidR="005F1EF0" w:rsidP="008D2625" w:rsidRDefault="005F1EF0" w14:paraId="367C1AF0" w14:textId="77777777">
            <w:pPr>
              <w:spacing w:before="80" w:after="80"/>
              <w:jc w:val="center"/>
            </w:pPr>
            <w:r>
              <w:rPr>
                <w:rFonts w:ascii="Arial" w:hAnsi="Arial" w:cs="Arial"/>
                <w:b/>
                <w:color w:val="FFFFFF"/>
                <w:sz w:val="18"/>
                <w:szCs w:val="18"/>
              </w:rPr>
              <w:t>2026</w:t>
            </w:r>
          </w:p>
        </w:tc>
      </w:tr>
      <w:tr w:rsidR="005F1EF0" w:rsidTr="008D2625" w14:paraId="32C85DC8" w14:textId="77777777">
        <w:tc>
          <w:tcPr>
            <w:tcW w:w="38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055B8D46" w14:textId="77777777">
            <w:pPr>
              <w:spacing w:before="80" w:after="80"/>
            </w:pPr>
            <w:r>
              <w:rPr>
                <w:rFonts w:ascii="Arial" w:hAnsi="Arial" w:cs="Arial"/>
                <w:b/>
                <w:sz w:val="18"/>
                <w:szCs w:val="18"/>
              </w:rPr>
              <w:t xml:space="preserve">Liberación tiempo procesamiento </w:t>
            </w:r>
            <w:proofErr w:type="spellStart"/>
            <w:r>
              <w:rPr>
                <w:rFonts w:ascii="Arial" w:hAnsi="Arial" w:cs="Arial"/>
                <w:b/>
                <w:sz w:val="18"/>
                <w:szCs w:val="18"/>
              </w:rPr>
              <w:t>batch</w:t>
            </w:r>
            <w:proofErr w:type="spellEnd"/>
            <w:r>
              <w:rPr>
                <w:rFonts w:ascii="Arial" w:hAnsi="Arial" w:cs="Arial"/>
                <w:b/>
                <w:sz w:val="18"/>
                <w:szCs w:val="18"/>
              </w:rPr>
              <w:t xml:space="preserve"> Técnico</w:t>
            </w:r>
          </w:p>
        </w:tc>
        <w:tc>
          <w:tcPr>
            <w:tcW w:w="148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244768B5" w14:textId="77777777">
            <w:pPr>
              <w:spacing w:before="80" w:after="80"/>
              <w:jc w:val="center"/>
            </w:pPr>
            <w:r>
              <w:rPr>
                <w:rFonts w:ascii="Arial" w:hAnsi="Arial" w:cs="Arial"/>
                <w:sz w:val="18"/>
                <w:szCs w:val="18"/>
              </w:rPr>
              <w:t>25% (500 h)</w:t>
            </w:r>
          </w:p>
        </w:tc>
        <w:tc>
          <w:tcPr>
            <w:tcW w:w="148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6288BD05" w14:textId="77777777">
            <w:pPr>
              <w:spacing w:before="80" w:after="80"/>
              <w:jc w:val="center"/>
            </w:pPr>
            <w:r>
              <w:rPr>
                <w:rFonts w:ascii="Arial" w:hAnsi="Arial" w:cs="Arial"/>
                <w:sz w:val="18"/>
                <w:szCs w:val="18"/>
              </w:rPr>
              <w:t>—</w:t>
            </w:r>
          </w:p>
        </w:tc>
      </w:tr>
      <w:tr w:rsidR="005F1EF0" w:rsidTr="008D2625" w14:paraId="7114DD6E" w14:textId="77777777">
        <w:tc>
          <w:tcPr>
            <w:tcW w:w="38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4BC289E3" w14:textId="77777777">
            <w:pPr>
              <w:spacing w:before="80" w:after="80"/>
            </w:pPr>
            <w:r>
              <w:rPr>
                <w:rFonts w:ascii="Arial" w:hAnsi="Arial" w:cs="Arial"/>
                <w:b/>
                <w:sz w:val="18"/>
                <w:szCs w:val="18"/>
              </w:rPr>
              <w:t>Modelos semánticos en Power BI sustituyendo cubos Cognos</w:t>
            </w:r>
          </w:p>
        </w:tc>
        <w:tc>
          <w:tcPr>
            <w:tcW w:w="148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0130A734" w14:textId="77777777">
            <w:pPr>
              <w:spacing w:before="80" w:after="80"/>
              <w:jc w:val="center"/>
            </w:pPr>
            <w:r>
              <w:rPr>
                <w:rFonts w:ascii="Arial" w:hAnsi="Arial" w:cs="Arial"/>
                <w:sz w:val="18"/>
                <w:szCs w:val="18"/>
              </w:rPr>
              <w:t>Técnico</w:t>
            </w:r>
          </w:p>
        </w:tc>
        <w:tc>
          <w:tcPr>
            <w:tcW w:w="148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428B3248" w14:textId="77777777">
            <w:pPr>
              <w:spacing w:before="80" w:after="80"/>
              <w:jc w:val="center"/>
            </w:pPr>
            <w:r>
              <w:rPr>
                <w:rFonts w:ascii="Arial" w:hAnsi="Arial" w:cs="Arial"/>
                <w:sz w:val="18"/>
                <w:szCs w:val="18"/>
              </w:rPr>
              <w:t>Todos los dominios</w:t>
            </w:r>
          </w:p>
        </w:tc>
      </w:tr>
      <w:tr w:rsidR="005F1EF0" w:rsidTr="008D2625" w14:paraId="34E1BBCF" w14:textId="77777777">
        <w:tc>
          <w:tcPr>
            <w:tcW w:w="38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487FB222" w14:textId="77777777">
            <w:pPr>
              <w:spacing w:before="80" w:after="80"/>
            </w:pPr>
            <w:r>
              <w:rPr>
                <w:rFonts w:ascii="Arial" w:hAnsi="Arial" w:cs="Arial"/>
                <w:b/>
                <w:sz w:val="18"/>
                <w:szCs w:val="18"/>
              </w:rPr>
              <w:t xml:space="preserve">Data </w:t>
            </w:r>
            <w:proofErr w:type="spellStart"/>
            <w:r>
              <w:rPr>
                <w:rFonts w:ascii="Arial" w:hAnsi="Arial" w:cs="Arial"/>
                <w:b/>
                <w:sz w:val="18"/>
                <w:szCs w:val="18"/>
              </w:rPr>
              <w:t>Lakehouse</w:t>
            </w:r>
            <w:proofErr w:type="spellEnd"/>
            <w:r>
              <w:rPr>
                <w:rFonts w:ascii="Arial" w:hAnsi="Arial" w:cs="Arial"/>
                <w:b/>
                <w:sz w:val="18"/>
                <w:szCs w:val="18"/>
              </w:rPr>
              <w:t xml:space="preserve"> como fuente única de la verdad</w:t>
            </w:r>
          </w:p>
        </w:tc>
        <w:tc>
          <w:tcPr>
            <w:tcW w:w="148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65E18EDA" w14:textId="77777777">
            <w:pPr>
              <w:spacing w:before="80" w:after="80"/>
              <w:jc w:val="center"/>
            </w:pPr>
            <w:r>
              <w:rPr>
                <w:rFonts w:ascii="Arial" w:hAnsi="Arial" w:cs="Arial"/>
                <w:sz w:val="18"/>
                <w:szCs w:val="18"/>
              </w:rPr>
              <w:t>Diseño</w:t>
            </w:r>
          </w:p>
        </w:tc>
        <w:tc>
          <w:tcPr>
            <w:tcW w:w="148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19322C7F" w14:textId="77777777">
            <w:pPr>
              <w:spacing w:before="80" w:after="80"/>
              <w:jc w:val="center"/>
            </w:pPr>
            <w:r>
              <w:rPr>
                <w:rFonts w:ascii="Arial" w:hAnsi="Arial" w:cs="Arial"/>
                <w:sz w:val="18"/>
                <w:szCs w:val="18"/>
              </w:rPr>
              <w:t>Producción</w:t>
            </w:r>
          </w:p>
        </w:tc>
      </w:tr>
      <w:tr w:rsidR="005F1EF0" w:rsidTr="008D2625" w14:paraId="0ACA7D8A" w14:textId="77777777">
        <w:tc>
          <w:tcPr>
            <w:tcW w:w="38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52EECC77" w14:textId="77777777">
            <w:pPr>
              <w:spacing w:before="80" w:after="80"/>
            </w:pPr>
            <w:r>
              <w:rPr>
                <w:rFonts w:ascii="Arial" w:hAnsi="Arial" w:cs="Arial"/>
                <w:b/>
                <w:sz w:val="18"/>
                <w:szCs w:val="18"/>
              </w:rPr>
              <w:t xml:space="preserve">Apertura capa </w:t>
            </w:r>
            <w:proofErr w:type="spellStart"/>
            <w:r>
              <w:rPr>
                <w:rFonts w:ascii="Arial" w:hAnsi="Arial" w:cs="Arial"/>
                <w:b/>
                <w:sz w:val="18"/>
                <w:szCs w:val="18"/>
              </w:rPr>
              <w:t>cmpETL</w:t>
            </w:r>
            <w:proofErr w:type="spellEnd"/>
            <w:r>
              <w:rPr>
                <w:rFonts w:ascii="Arial" w:hAnsi="Arial" w:cs="Arial"/>
                <w:b/>
                <w:sz w:val="18"/>
                <w:szCs w:val="18"/>
              </w:rPr>
              <w:t>* a toda la comunidad analítica</w:t>
            </w:r>
          </w:p>
        </w:tc>
        <w:tc>
          <w:tcPr>
            <w:tcW w:w="148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2E26CA06" w14:textId="77777777">
            <w:pPr>
              <w:spacing w:before="80" w:after="80"/>
              <w:jc w:val="center"/>
            </w:pPr>
            <w:r>
              <w:rPr>
                <w:rFonts w:ascii="Arial" w:hAnsi="Arial" w:cs="Arial"/>
                <w:sz w:val="18"/>
                <w:szCs w:val="18"/>
              </w:rPr>
              <w:t>—</w:t>
            </w:r>
          </w:p>
        </w:tc>
        <w:tc>
          <w:tcPr>
            <w:tcW w:w="148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21210506" w14:textId="77777777">
            <w:pPr>
              <w:spacing w:before="80" w:after="80"/>
              <w:jc w:val="center"/>
            </w:pPr>
            <w:r>
              <w:rPr>
                <w:rFonts w:ascii="Arial" w:hAnsi="Arial" w:cs="Arial"/>
                <w:sz w:val="18"/>
                <w:szCs w:val="18"/>
              </w:rPr>
              <w:t>Sí (masiva)</w:t>
            </w:r>
          </w:p>
        </w:tc>
      </w:tr>
    </w:tbl>
    <w:p w:rsidR="005F1EF0" w:rsidP="005F1EF0" w:rsidRDefault="005F1EF0" w14:paraId="3B17FABA" w14:textId="77777777">
      <w:pPr>
        <w:spacing w:before="180"/>
      </w:pPr>
    </w:p>
    <w:p w:rsidR="005F1EF0" w:rsidP="005F1EF0" w:rsidRDefault="005F1EF0" w14:paraId="3B17FABB" w14:textId="77777777">
      <w:pPr>
        <w:spacing w:after="100"/>
      </w:pPr>
      <w:r>
        <w:rPr>
          <w:rFonts w:ascii="Arial" w:hAnsi="Arial" w:cs="Arial"/>
          <w:b/>
          <w:color w:val="8B6914"/>
          <w:sz w:val="16"/>
          <w:szCs w:val="16"/>
        </w:rPr>
        <w:t>PROGRAMA PI 2.0 — FORMACIÓN DEL COLECTIVO</w:t>
      </w:r>
    </w:p>
    <w:tbl>
      <w:tblPr>
        <w:tblW w:w="9026" w:type="dxa"/>
        <w:tblCellMar>
          <w:left w:w="10" w:type="dxa"/>
          <w:right w:w="10" w:type="dxa"/>
        </w:tblCellMar>
        <w:tblLook w:val="0000" w:firstRow="0" w:lastRow="0" w:firstColumn="0" w:lastColumn="0" w:noHBand="0" w:noVBand="0"/>
      </w:tblPr>
      <w:tblGrid>
        <w:gridCol w:w="5074"/>
        <w:gridCol w:w="1976"/>
        <w:gridCol w:w="1976"/>
      </w:tblGrid>
      <w:tr w:rsidR="005F1EF0" w:rsidTr="008D2625" w14:paraId="21F51994" w14:textId="77777777">
        <w:trPr>
          <w:tblHeader/>
        </w:trPr>
        <w:tc>
          <w:tcPr>
            <w:tcW w:w="5074" w:type="dxa"/>
            <w:shd w:val="clear" w:color="auto" w:fill="8B6914"/>
            <w:tcMar>
              <w:top w:w="80" w:type="dxa"/>
              <w:left w:w="140" w:type="dxa"/>
              <w:bottom w:w="80" w:type="dxa"/>
              <w:right w:w="100" w:type="dxa"/>
            </w:tcMar>
          </w:tcPr>
          <w:p w:rsidR="005F1EF0" w:rsidP="008D2625" w:rsidRDefault="005F1EF0" w14:paraId="370B83FB" w14:textId="77777777">
            <w:pPr>
              <w:spacing w:before="80" w:after="80"/>
            </w:pPr>
            <w:r>
              <w:rPr>
                <w:rFonts w:ascii="Arial" w:hAnsi="Arial" w:cs="Arial"/>
                <w:b/>
                <w:color w:val="FFFFFF"/>
                <w:sz w:val="18"/>
                <w:szCs w:val="18"/>
              </w:rPr>
              <w:t>Indicador</w:t>
            </w:r>
          </w:p>
        </w:tc>
        <w:tc>
          <w:tcPr>
            <w:tcW w:w="1976" w:type="dxa"/>
            <w:shd w:val="clear" w:color="auto" w:fill="8B6914"/>
            <w:tcMar>
              <w:top w:w="80" w:type="dxa"/>
              <w:left w:w="140" w:type="dxa"/>
              <w:bottom w:w="80" w:type="dxa"/>
              <w:right w:w="100" w:type="dxa"/>
            </w:tcMar>
          </w:tcPr>
          <w:p w:rsidR="005F1EF0" w:rsidP="008D2625" w:rsidRDefault="005F1EF0" w14:paraId="4FD2FAD7" w14:textId="77777777">
            <w:pPr>
              <w:spacing w:before="80" w:after="80"/>
              <w:jc w:val="center"/>
            </w:pPr>
            <w:r>
              <w:rPr>
                <w:rFonts w:ascii="Arial" w:hAnsi="Arial" w:cs="Arial"/>
                <w:b/>
                <w:color w:val="FFFFFF"/>
                <w:sz w:val="18"/>
                <w:szCs w:val="18"/>
              </w:rPr>
              <w:t>2025</w:t>
            </w:r>
          </w:p>
        </w:tc>
        <w:tc>
          <w:tcPr>
            <w:tcW w:w="1976" w:type="dxa"/>
            <w:shd w:val="clear" w:color="auto" w:fill="8B6914"/>
            <w:tcMar>
              <w:top w:w="80" w:type="dxa"/>
              <w:left w:w="140" w:type="dxa"/>
              <w:bottom w:w="80" w:type="dxa"/>
              <w:right w:w="100" w:type="dxa"/>
            </w:tcMar>
          </w:tcPr>
          <w:p w:rsidR="005F1EF0" w:rsidP="008D2625" w:rsidRDefault="005F1EF0" w14:paraId="6BEDEEF5" w14:textId="77777777">
            <w:pPr>
              <w:spacing w:before="80" w:after="80"/>
              <w:jc w:val="center"/>
            </w:pPr>
            <w:r>
              <w:rPr>
                <w:rFonts w:ascii="Arial" w:hAnsi="Arial" w:cs="Arial"/>
                <w:b/>
                <w:color w:val="FFFFFF"/>
                <w:sz w:val="18"/>
                <w:szCs w:val="18"/>
              </w:rPr>
              <w:t>2026</w:t>
            </w:r>
          </w:p>
        </w:tc>
      </w:tr>
      <w:tr w:rsidR="005F1EF0" w:rsidTr="008D2625" w14:paraId="727E6F7E" w14:textId="77777777">
        <w:tc>
          <w:tcPr>
            <w:tcW w:w="5074"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52E2FDE2" w14:textId="77777777">
            <w:pPr>
              <w:spacing w:before="80" w:after="80"/>
            </w:pPr>
            <w:r>
              <w:rPr>
                <w:rFonts w:ascii="Arial" w:hAnsi="Arial" w:cs="Arial"/>
                <w:b/>
                <w:sz w:val="18"/>
                <w:szCs w:val="18"/>
              </w:rPr>
              <w:t>Itinerarios formativos lanzados</w:t>
            </w:r>
          </w:p>
        </w:tc>
        <w:tc>
          <w:tcPr>
            <w:tcW w:w="197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6932AD00" w14:textId="77777777">
            <w:pPr>
              <w:spacing w:before="80" w:after="80"/>
              <w:jc w:val="center"/>
            </w:pPr>
            <w:r>
              <w:rPr>
                <w:rFonts w:ascii="Arial" w:hAnsi="Arial" w:cs="Arial"/>
                <w:sz w:val="18"/>
                <w:szCs w:val="18"/>
              </w:rPr>
              <w:t>5 itinerarios</w:t>
            </w:r>
          </w:p>
        </w:tc>
        <w:tc>
          <w:tcPr>
            <w:tcW w:w="197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Pr="00D80B86" w:rsidR="005F1EF0" w:rsidP="008D2625" w:rsidRDefault="005F1EF0" w14:paraId="5823DA66" w14:textId="77777777">
            <w:pPr>
              <w:spacing w:before="80" w:after="80"/>
              <w:jc w:val="center"/>
              <w:rPr>
                <w:kern w:val="2"/>
                <w14:ligatures w14:val="standardContextual"/>
              </w:rPr>
            </w:pPr>
            <w:r>
              <w:rPr>
                <w:rFonts w:ascii="Arial" w:hAnsi="Arial" w:cs="Arial"/>
                <w:sz w:val="18"/>
                <w:szCs w:val="18"/>
              </w:rPr>
              <w:t>Definidos los itinerarios y niveles</w:t>
            </w:r>
          </w:p>
        </w:tc>
      </w:tr>
      <w:tr w:rsidR="005F1EF0" w:rsidTr="008D2625" w14:paraId="1413B26A" w14:textId="77777777">
        <w:tc>
          <w:tcPr>
            <w:tcW w:w="5074"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Pr="00D80B86" w:rsidR="005F1EF0" w:rsidP="008D2625" w:rsidRDefault="005F1EF0" w14:paraId="778818F3" w14:textId="77777777">
            <w:pPr>
              <w:spacing w:before="80" w:after="80"/>
              <w:rPr>
                <w:kern w:val="2"/>
                <w14:ligatures w14:val="standardContextual"/>
              </w:rPr>
            </w:pPr>
            <w:r>
              <w:rPr>
                <w:rFonts w:ascii="Arial" w:hAnsi="Arial" w:cs="Arial"/>
                <w:b/>
                <w:bCs/>
                <w:sz w:val="18"/>
                <w:szCs w:val="18"/>
              </w:rPr>
              <w:t>Comunidad PI formada en gobierno del dato (lanzamiento masivo)</w:t>
            </w:r>
          </w:p>
        </w:tc>
        <w:tc>
          <w:tcPr>
            <w:tcW w:w="197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3B321CF0" w14:textId="77777777">
            <w:pPr>
              <w:spacing w:before="80" w:after="80"/>
              <w:jc w:val="center"/>
            </w:pPr>
            <w:r>
              <w:rPr>
                <w:rFonts w:ascii="Arial" w:hAnsi="Arial" w:cs="Arial"/>
                <w:sz w:val="18"/>
                <w:szCs w:val="18"/>
              </w:rPr>
              <w:t>Sep. 2025</w:t>
            </w:r>
          </w:p>
        </w:tc>
        <w:tc>
          <w:tcPr>
            <w:tcW w:w="197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0C8CE401" w14:textId="77777777">
            <w:pPr>
              <w:spacing w:before="80" w:after="80"/>
              <w:jc w:val="center"/>
            </w:pPr>
            <w:r>
              <w:rPr>
                <w:rFonts w:ascii="Arial" w:hAnsi="Arial" w:cs="Arial"/>
                <w:sz w:val="18"/>
                <w:szCs w:val="18"/>
              </w:rPr>
              <w:t>Consolidado</w:t>
            </w:r>
          </w:p>
        </w:tc>
      </w:tr>
      <w:tr w:rsidR="005F1EF0" w:rsidTr="008D2625" w14:paraId="66BDBA57" w14:textId="77777777">
        <w:tc>
          <w:tcPr>
            <w:tcW w:w="5074"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52B03AE3" w14:textId="77777777">
            <w:pPr>
              <w:spacing w:before="80" w:after="80"/>
            </w:pPr>
            <w:r>
              <w:rPr>
                <w:rFonts w:ascii="Arial" w:hAnsi="Arial" w:cs="Arial"/>
                <w:b/>
                <w:sz w:val="18"/>
                <w:szCs w:val="18"/>
              </w:rPr>
              <w:t>Analistas con certificación nivel básico o superior en Python / Power BI</w:t>
            </w:r>
          </w:p>
        </w:tc>
        <w:tc>
          <w:tcPr>
            <w:tcW w:w="197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4DD00103" w14:textId="77777777">
            <w:pPr>
              <w:spacing w:before="80" w:after="80"/>
              <w:jc w:val="center"/>
            </w:pPr>
          </w:p>
        </w:tc>
        <w:tc>
          <w:tcPr>
            <w:tcW w:w="197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3FC3B52B" w14:textId="77777777">
            <w:pPr>
              <w:spacing w:before="80" w:after="80"/>
              <w:jc w:val="center"/>
              <w:rPr>
                <w:kern w:val="2"/>
                <w14:ligatures w14:val="standardContextual"/>
              </w:rPr>
            </w:pPr>
            <w:r>
              <w:rPr>
                <w:rFonts w:ascii="Arial" w:hAnsi="Arial" w:cs="Arial"/>
                <w:sz w:val="18"/>
                <w:szCs w:val="18"/>
              </w:rPr>
              <w:t>Pequeño grupo de usuarios</w:t>
            </w:r>
          </w:p>
          <w:p w:rsidR="005F1EF0" w:rsidP="008D2625" w:rsidRDefault="005F1EF0" w14:paraId="520A0DBC" w14:textId="77777777">
            <w:pPr>
              <w:spacing w:before="80" w:after="80"/>
              <w:jc w:val="center"/>
            </w:pPr>
          </w:p>
        </w:tc>
      </w:tr>
    </w:tbl>
    <w:p w:rsidR="005F1EF0" w:rsidP="005F1EF0" w:rsidRDefault="005F1EF0" w14:paraId="17A27BAB" w14:textId="77777777">
      <w:pPr>
        <w:pBdr>
          <w:bottom w:val="single" w:color="D3D1C7" w:sz="1" w:space="1"/>
        </w:pBdr>
        <w:spacing w:before="200" w:after="240"/>
      </w:pPr>
    </w:p>
    <w:p w:rsidR="005F1EF0" w:rsidP="005F1EF0" w:rsidRDefault="005F1EF0" w14:paraId="4F6EFD5A" w14:textId="77777777">
      <w:pPr>
        <w:spacing w:after="120"/>
      </w:pPr>
      <w:r>
        <w:rPr>
          <w:rFonts w:ascii="Arial" w:hAnsi="Arial" w:cs="Arial"/>
          <w:color w:val="888888"/>
          <w:sz w:val="16"/>
          <w:szCs w:val="16"/>
        </w:rPr>
        <w:t>IMPLICACIONES ORGANIZATIVAS Y OPERATIVAS</w:t>
      </w:r>
    </w:p>
    <w:p w:rsidR="005F1EF0" w:rsidP="005F1EF0" w:rsidRDefault="005F1EF0" w14:paraId="6FFA424E" w14:textId="77777777">
      <w:pPr>
        <w:spacing w:after="160"/>
        <w:rPr>
          <w:kern w:val="2"/>
          <w14:ligatures w14:val="standardContextual"/>
        </w:rPr>
      </w:pPr>
      <w:r>
        <w:rPr>
          <w:rFonts w:ascii="Arial" w:hAnsi="Arial" w:cs="Arial"/>
          <w:b/>
          <w:bCs/>
          <w:sz w:val="30"/>
          <w:szCs w:val="30"/>
        </w:rPr>
        <w:t>Un proyecto articulado en cinco bloques que se refuerzan mutuamente</w:t>
      </w:r>
    </w:p>
    <w:p w:rsidR="005F1EF0" w:rsidP="005F1EF0" w:rsidRDefault="005F1EF0" w14:paraId="6ECE97A7" w14:textId="77777777">
      <w:pPr>
        <w:spacing w:after="280"/>
        <w:jc w:val="both"/>
        <w:rPr>
          <w:i/>
          <w:iCs/>
          <w:color w:val="555555"/>
        </w:rPr>
      </w:pPr>
      <w:r>
        <w:rPr>
          <w:i/>
          <w:iCs/>
          <w:color w:val="555555"/>
        </w:rPr>
        <w:t>El gobierno del dato no ocurre en una sala de servidores. Ocurre en las decisiones diarias de cientos de personas que producen, consumen y son responsables de datos. Por eso el proyecto se articula en cinco bloques estratégicos que avanzan de forma coordinada y convierten el dato en un activo gestionado de manera corporativa.</w:t>
      </w:r>
    </w:p>
    <w:tbl>
      <w:tblPr>
        <w:tblW w:w="9026" w:type="dxa"/>
        <w:tblCellMar>
          <w:left w:w="10" w:type="dxa"/>
          <w:right w:w="10" w:type="dxa"/>
        </w:tblCellMar>
        <w:tblLook w:val="0000" w:firstRow="0" w:lastRow="0" w:firstColumn="0" w:lastColumn="0" w:noHBand="0" w:noVBand="0"/>
      </w:tblPr>
      <w:tblGrid>
        <w:gridCol w:w="9026"/>
      </w:tblGrid>
      <w:tr w:rsidR="007D4EB0" w:rsidTr="008D2625" w14:paraId="06246741" w14:textId="77777777">
        <w:tc>
          <w:tcPr>
            <w:tcW w:w="9026" w:type="dxa"/>
            <w:tcBorders>
              <w:top w:val="single" w:color="E0DED8" w:sz="4" w:space="0"/>
              <w:left w:val="single" w:color="BE2A2A" w:sz="18" w:space="0"/>
              <w:bottom w:val="single" w:color="E0DED8" w:sz="4" w:space="0"/>
              <w:right w:val="single" w:color="E0DED8" w:sz="4" w:space="0"/>
            </w:tcBorders>
            <w:shd w:val="clear" w:color="auto" w:fill="FFFFFF"/>
            <w:tcMar>
              <w:top w:w="100" w:type="dxa"/>
              <w:left w:w="200" w:type="dxa"/>
              <w:bottom w:w="100" w:type="dxa"/>
              <w:right w:w="140" w:type="dxa"/>
            </w:tcMar>
          </w:tcPr>
          <w:p w:rsidR="007D4EB0" w:rsidP="007D4EB0" w:rsidRDefault="007D4EB0" w14:paraId="5E93D9E3" w14:textId="77777777">
            <w:pPr>
              <w:spacing w:before="100" w:after="60"/>
              <w:rPr>
                <w:kern w:val="2"/>
                <w14:ligatures w14:val="standardContextual"/>
              </w:rPr>
            </w:pPr>
            <w:r>
              <w:rPr>
                <w:rFonts w:ascii="Arial" w:hAnsi="Arial" w:cs="Arial"/>
                <w:b/>
                <w:bCs/>
                <w:sz w:val="20"/>
                <w:szCs w:val="20"/>
              </w:rPr>
              <w:t>Organización</w:t>
            </w:r>
          </w:p>
          <w:p w:rsidRPr="00E26261" w:rsidR="007D4EB0" w:rsidP="007D4EB0" w:rsidRDefault="007D4EB0" w14:paraId="46FD8000" w14:textId="6033F037">
            <w:pPr>
              <w:spacing w:after="100"/>
              <w:jc w:val="both"/>
              <w:rPr>
                <w:kern w:val="2"/>
                <w14:ligatures w14:val="standardContextual"/>
              </w:rPr>
            </w:pPr>
            <w:r>
              <w:rPr>
                <w:color w:val="555555"/>
                <w:sz w:val="20"/>
                <w:szCs w:val="20"/>
              </w:rPr>
              <w:t xml:space="preserve">La transformación más profunda del proyecto no es tecnológica: es organizativa. El modelo establece responsabilidades formales sobre el dato a través de Data </w:t>
            </w:r>
            <w:proofErr w:type="spellStart"/>
            <w:r>
              <w:rPr>
                <w:color w:val="555555"/>
                <w:sz w:val="20"/>
                <w:szCs w:val="20"/>
              </w:rPr>
              <w:t>Owners</w:t>
            </w:r>
            <w:proofErr w:type="spellEnd"/>
            <w:r>
              <w:rPr>
                <w:color w:val="555555"/>
                <w:sz w:val="20"/>
                <w:szCs w:val="20"/>
              </w:rPr>
              <w:t xml:space="preserve">, Data </w:t>
            </w:r>
            <w:proofErr w:type="spellStart"/>
            <w:r>
              <w:rPr>
                <w:color w:val="555555"/>
                <w:sz w:val="20"/>
                <w:szCs w:val="20"/>
              </w:rPr>
              <w:t>Stewards</w:t>
            </w:r>
            <w:proofErr w:type="spellEnd"/>
            <w:r>
              <w:rPr>
                <w:color w:val="555555"/>
                <w:sz w:val="20"/>
                <w:szCs w:val="20"/>
              </w:rPr>
              <w:t xml:space="preserve"> y Data </w:t>
            </w:r>
            <w:proofErr w:type="spellStart"/>
            <w:r>
              <w:rPr>
                <w:color w:val="555555"/>
                <w:sz w:val="20"/>
                <w:szCs w:val="20"/>
              </w:rPr>
              <w:t>Custodians</w:t>
            </w:r>
            <w:proofErr w:type="spellEnd"/>
            <w:r>
              <w:rPr>
                <w:color w:val="555555"/>
                <w:sz w:val="20"/>
                <w:szCs w:val="20"/>
              </w:rPr>
              <w:t>, con una función central de Gobierno del Dato que coordina, prioriza y escala decisiones. Es la estructura que permite que cada dominio tenga responsables claros y que el gobierno deje de depender de iniciativas aisladas para convertirse en una capacidad corporativa.</w:t>
            </w:r>
          </w:p>
        </w:tc>
      </w:tr>
    </w:tbl>
    <w:p w:rsidR="007D4EB0" w:rsidP="005F1EF0" w:rsidRDefault="007D4EB0" w14:paraId="65EB807F" w14:textId="77777777">
      <w:pPr>
        <w:spacing w:after="280"/>
        <w:jc w:val="both"/>
        <w:rPr>
          <w:i/>
          <w:iCs/>
          <w:color w:val="555555"/>
        </w:rPr>
      </w:pPr>
    </w:p>
    <w:tbl>
      <w:tblPr>
        <w:tblW w:w="9026" w:type="dxa"/>
        <w:tblCellMar>
          <w:left w:w="10" w:type="dxa"/>
          <w:right w:w="10" w:type="dxa"/>
        </w:tblCellMar>
        <w:tblLook w:val="0000" w:firstRow="0" w:lastRow="0" w:firstColumn="0" w:lastColumn="0" w:noHBand="0" w:noVBand="0"/>
      </w:tblPr>
      <w:tblGrid>
        <w:gridCol w:w="9026"/>
      </w:tblGrid>
      <w:tr w:rsidR="001F1259" w:rsidTr="008D2625" w14:paraId="2A71397E" w14:textId="77777777">
        <w:tc>
          <w:tcPr>
            <w:tcW w:w="9026" w:type="dxa"/>
            <w:tcBorders>
              <w:top w:val="single" w:color="E0DED8" w:sz="4" w:space="0"/>
              <w:left w:val="single" w:color="BE2A2A" w:sz="18" w:space="0"/>
              <w:bottom w:val="single" w:color="E0DED8" w:sz="4" w:space="0"/>
              <w:right w:val="single" w:color="E0DED8" w:sz="4" w:space="0"/>
            </w:tcBorders>
            <w:shd w:val="clear" w:color="auto" w:fill="FFFFFF"/>
            <w:tcMar>
              <w:top w:w="100" w:type="dxa"/>
              <w:left w:w="200" w:type="dxa"/>
              <w:bottom w:w="100" w:type="dxa"/>
              <w:right w:w="140" w:type="dxa"/>
            </w:tcMar>
          </w:tcPr>
          <w:p w:rsidRPr="008429B7" w:rsidR="001F1259" w:rsidP="001F1259" w:rsidRDefault="001F1259" w14:paraId="18E22B83" w14:textId="77777777">
            <w:pPr>
              <w:spacing w:before="100" w:after="60"/>
              <w:rPr>
                <w:rFonts w:ascii="Arial" w:hAnsi="Arial" w:cs="Arial"/>
                <w:b/>
                <w:bCs/>
                <w:sz w:val="20"/>
                <w:szCs w:val="20"/>
              </w:rPr>
            </w:pPr>
            <w:r w:rsidRPr="008429B7">
              <w:rPr>
                <w:rFonts w:ascii="Arial" w:hAnsi="Arial" w:cs="Arial"/>
                <w:b/>
                <w:bCs/>
                <w:sz w:val="20"/>
                <w:szCs w:val="20"/>
              </w:rPr>
              <w:t xml:space="preserve">Talento y </w:t>
            </w:r>
            <w:proofErr w:type="spellStart"/>
            <w:r w:rsidRPr="008429B7">
              <w:rPr>
                <w:rFonts w:ascii="Arial" w:hAnsi="Arial" w:cs="Arial"/>
                <w:b/>
                <w:bCs/>
                <w:sz w:val="20"/>
                <w:szCs w:val="20"/>
              </w:rPr>
              <w:t>upskilling</w:t>
            </w:r>
            <w:proofErr w:type="spellEnd"/>
          </w:p>
          <w:p w:rsidRPr="00E26261" w:rsidR="001F1259" w:rsidP="001F1259" w:rsidRDefault="001F1259" w14:paraId="50BAD459" w14:textId="3BA4AAD6">
            <w:pPr>
              <w:spacing w:after="100"/>
              <w:jc w:val="both"/>
              <w:rPr>
                <w:kern w:val="2"/>
                <w14:ligatures w14:val="standardContextual"/>
              </w:rPr>
            </w:pPr>
            <w:r w:rsidRPr="001F1259">
              <w:rPr>
                <w:rFonts w:ascii="Arial" w:hAnsi="Arial" w:cs="Arial"/>
                <w:sz w:val="20"/>
                <w:szCs w:val="20"/>
              </w:rPr>
              <w:t xml:space="preserve">El cambio también exige una evolución de capacidades. La comunidad analítica de Línea Directa —el colectivo PI— avanza desde un modelo generalista hacia uno más especializado, preparado para trabajar con nuevas herramientas, nuevos procesos y nuevas responsabilidades sobre el dato. </w:t>
            </w:r>
            <w:r w:rsidRPr="001F1259">
              <w:rPr>
                <w:rFonts w:ascii="Arial" w:hAnsi="Arial" w:cs="Arial"/>
                <w:sz w:val="20"/>
                <w:szCs w:val="20"/>
              </w:rPr>
              <w:lastRenderedPageBreak/>
              <w:t xml:space="preserve">El Programa PI 2.0 y el </w:t>
            </w:r>
            <w:proofErr w:type="spellStart"/>
            <w:r w:rsidRPr="001F1259">
              <w:rPr>
                <w:rFonts w:ascii="Arial" w:hAnsi="Arial" w:cs="Arial"/>
                <w:sz w:val="20"/>
                <w:szCs w:val="20"/>
              </w:rPr>
              <w:t>Development</w:t>
            </w:r>
            <w:proofErr w:type="spellEnd"/>
            <w:r w:rsidRPr="001F1259">
              <w:rPr>
                <w:rFonts w:ascii="Arial" w:hAnsi="Arial" w:cs="Arial"/>
                <w:sz w:val="20"/>
                <w:szCs w:val="20"/>
              </w:rPr>
              <w:t xml:space="preserve"> Center son las piezas que acompañan esta transición, con itinerarios formativos, niveles de especialización y un enfoque que prioriza la capacidad de la organización sobre el dato por encima de una tecnología </w:t>
            </w:r>
            <w:r w:rsidR="007A09D2">
              <w:rPr>
                <w:rFonts w:ascii="Arial" w:hAnsi="Arial" w:cs="Arial"/>
                <w:sz w:val="20"/>
                <w:szCs w:val="20"/>
              </w:rPr>
              <w:t>concreta.</w:t>
            </w:r>
          </w:p>
        </w:tc>
      </w:tr>
    </w:tbl>
    <w:p w:rsidR="005F1EF0" w:rsidP="005F1EF0" w:rsidRDefault="005F1EF0" w14:paraId="76918B3D" w14:textId="77777777">
      <w:pPr>
        <w:spacing w:after="280"/>
        <w:jc w:val="both"/>
        <w:rPr>
          <w:i/>
          <w:iCs/>
          <w:color w:val="555555"/>
        </w:rPr>
      </w:pPr>
    </w:p>
    <w:tbl>
      <w:tblPr>
        <w:tblW w:w="9026" w:type="dxa"/>
        <w:tblCellMar>
          <w:left w:w="10" w:type="dxa"/>
          <w:right w:w="10" w:type="dxa"/>
        </w:tblCellMar>
        <w:tblLook w:val="0000" w:firstRow="0" w:lastRow="0" w:firstColumn="0" w:lastColumn="0" w:noHBand="0" w:noVBand="0"/>
      </w:tblPr>
      <w:tblGrid>
        <w:gridCol w:w="9026"/>
      </w:tblGrid>
      <w:tr w:rsidR="005F1EF0" w:rsidTr="008D2625" w14:paraId="0C37601C" w14:textId="77777777">
        <w:tc>
          <w:tcPr>
            <w:tcW w:w="9026" w:type="dxa"/>
            <w:tcBorders>
              <w:top w:val="single" w:color="E0DED8" w:sz="4" w:space="0"/>
              <w:left w:val="single" w:color="BE2A2A" w:sz="18" w:space="0"/>
              <w:bottom w:val="single" w:color="E0DED8" w:sz="4" w:space="0"/>
              <w:right w:val="single" w:color="E0DED8" w:sz="4" w:space="0"/>
            </w:tcBorders>
            <w:shd w:val="clear" w:color="auto" w:fill="FFFFFF"/>
            <w:tcMar>
              <w:top w:w="100" w:type="dxa"/>
              <w:left w:w="200" w:type="dxa"/>
              <w:bottom w:w="100" w:type="dxa"/>
              <w:right w:w="140" w:type="dxa"/>
            </w:tcMar>
          </w:tcPr>
          <w:p w:rsidR="005F1EF0" w:rsidP="008D2625" w:rsidRDefault="005F1EF0" w14:paraId="48978D1C" w14:textId="77777777">
            <w:pPr>
              <w:spacing w:before="100" w:after="60"/>
              <w:rPr>
                <w:kern w:val="2"/>
                <w14:ligatures w14:val="standardContextual"/>
              </w:rPr>
            </w:pPr>
            <w:r>
              <w:rPr>
                <w:rFonts w:ascii="Arial" w:hAnsi="Arial" w:cs="Arial"/>
                <w:b/>
                <w:bCs/>
                <w:sz w:val="20"/>
                <w:szCs w:val="20"/>
              </w:rPr>
              <w:t>Políticas y normas</w:t>
            </w:r>
          </w:p>
          <w:p w:rsidR="005F1EF0" w:rsidP="008D2625" w:rsidRDefault="005F1EF0" w14:paraId="790D3F03" w14:textId="77777777">
            <w:pPr>
              <w:spacing w:after="100"/>
              <w:jc w:val="both"/>
            </w:pPr>
            <w:r>
              <w:rPr>
                <w:color w:val="555555"/>
                <w:sz w:val="20"/>
                <w:szCs w:val="20"/>
              </w:rPr>
              <w:t>Tener una política aprobada por el Consejo no es un trámite burocrático: es la señal inequívoca de que el dato es un activo estratégico y que su gobierno es una responsabilidad corporativa. Sobre esa base se construye un marco normativo común —calidad, catálogo, seguridad, privacidad, trazabilidad y estándares compartidos— que fija las reglas del juego para toda la organización y convierte el gobierno del dato en un marco obligatorio, no opcional.</w:t>
            </w:r>
          </w:p>
        </w:tc>
      </w:tr>
    </w:tbl>
    <w:p w:rsidR="005F1EF0" w:rsidP="005F1EF0" w:rsidRDefault="005F1EF0" w14:paraId="436EDC20" w14:textId="77777777">
      <w:pPr>
        <w:spacing w:after="280"/>
        <w:jc w:val="both"/>
        <w:rPr>
          <w:i/>
          <w:iCs/>
          <w:color w:val="555555"/>
        </w:rPr>
      </w:pPr>
    </w:p>
    <w:tbl>
      <w:tblPr>
        <w:tblW w:w="9026" w:type="dxa"/>
        <w:tblCellMar>
          <w:left w:w="10" w:type="dxa"/>
          <w:right w:w="10" w:type="dxa"/>
        </w:tblCellMar>
        <w:tblLook w:val="0000" w:firstRow="0" w:lastRow="0" w:firstColumn="0" w:lastColumn="0" w:noHBand="0" w:noVBand="0"/>
      </w:tblPr>
      <w:tblGrid>
        <w:gridCol w:w="9026"/>
      </w:tblGrid>
      <w:tr w:rsidR="005F1EF0" w:rsidTr="008D2625" w14:paraId="3F00C4AC" w14:textId="77777777">
        <w:tc>
          <w:tcPr>
            <w:tcW w:w="9026" w:type="dxa"/>
            <w:tcBorders>
              <w:top w:val="single" w:color="E0DED8" w:sz="4" w:space="0"/>
              <w:left w:val="single" w:color="BE2A2A" w:sz="18" w:space="0"/>
              <w:bottom w:val="single" w:color="E0DED8" w:sz="4" w:space="0"/>
              <w:right w:val="single" w:color="E0DED8" w:sz="4" w:space="0"/>
            </w:tcBorders>
            <w:shd w:val="clear" w:color="auto" w:fill="FFFFFF"/>
            <w:tcMar>
              <w:top w:w="100" w:type="dxa"/>
              <w:left w:w="200" w:type="dxa"/>
              <w:bottom w:w="100" w:type="dxa"/>
              <w:right w:w="140" w:type="dxa"/>
            </w:tcMar>
          </w:tcPr>
          <w:p w:rsidR="005F1EF0" w:rsidP="008D2625" w:rsidRDefault="005F1EF0" w14:paraId="0EFF9C2F" w14:textId="77777777">
            <w:pPr>
              <w:spacing w:before="100" w:after="60"/>
              <w:rPr>
                <w:kern w:val="2"/>
                <w14:ligatures w14:val="standardContextual"/>
              </w:rPr>
            </w:pPr>
            <w:r>
              <w:rPr>
                <w:rFonts w:ascii="Arial" w:hAnsi="Arial" w:cs="Arial"/>
                <w:b/>
                <w:bCs/>
                <w:sz w:val="20"/>
                <w:szCs w:val="20"/>
              </w:rPr>
              <w:t>Modelo operativo</w:t>
            </w:r>
          </w:p>
          <w:p w:rsidRPr="00E26261" w:rsidR="005F1EF0" w:rsidP="008D2625" w:rsidRDefault="005F1EF0" w14:paraId="7F176168" w14:textId="77777777">
            <w:pPr>
              <w:spacing w:after="100"/>
              <w:jc w:val="both"/>
              <w:rPr>
                <w:kern w:val="2"/>
                <w14:ligatures w14:val="standardContextual"/>
              </w:rPr>
            </w:pPr>
            <w:r>
              <w:rPr>
                <w:color w:val="555555"/>
                <w:sz w:val="20"/>
                <w:szCs w:val="20"/>
              </w:rPr>
              <w:t>El gobierno del dato se materializa en la forma en que la organización trabaja en el día a día. La gestión por dominios - el ciclo de vida del dato, los procesos de calidad, catálogo, incidencias -, y la construcción de productos de datos son los mecanismos que convierten la política en práctica efectiva. Es este bloque el que asegura adopción real, define quien y como se han de construir esos productos de datos y hace posible que el gobierno no se quede en una declaración de principios.</w:t>
            </w:r>
          </w:p>
        </w:tc>
      </w:tr>
    </w:tbl>
    <w:p w:rsidR="005F1EF0" w:rsidP="005F1EF0" w:rsidRDefault="005F1EF0" w14:paraId="1B85D7EC" w14:textId="77777777">
      <w:pPr>
        <w:spacing w:after="280"/>
        <w:jc w:val="both"/>
        <w:rPr>
          <w:i/>
          <w:iCs/>
          <w:color w:val="555555"/>
        </w:rPr>
      </w:pPr>
    </w:p>
    <w:tbl>
      <w:tblPr>
        <w:tblW w:w="9026" w:type="dxa"/>
        <w:tblCellMar>
          <w:left w:w="10" w:type="dxa"/>
          <w:right w:w="10" w:type="dxa"/>
        </w:tblCellMar>
        <w:tblLook w:val="0000" w:firstRow="0" w:lastRow="0" w:firstColumn="0" w:lastColumn="0" w:noHBand="0" w:noVBand="0"/>
      </w:tblPr>
      <w:tblGrid>
        <w:gridCol w:w="9026"/>
      </w:tblGrid>
      <w:tr w:rsidR="005F1EF0" w:rsidTr="008D2625" w14:paraId="70634307" w14:textId="77777777">
        <w:tc>
          <w:tcPr>
            <w:tcW w:w="9026" w:type="dxa"/>
            <w:tcBorders>
              <w:top w:val="single" w:color="E0DED8" w:sz="4" w:space="0"/>
              <w:left w:val="single" w:color="BE2A2A" w:sz="18" w:space="0"/>
              <w:bottom w:val="single" w:color="E0DED8" w:sz="4" w:space="0"/>
              <w:right w:val="single" w:color="E0DED8" w:sz="4" w:space="0"/>
            </w:tcBorders>
            <w:shd w:val="clear" w:color="auto" w:fill="FFFFFF"/>
            <w:tcMar>
              <w:top w:w="100" w:type="dxa"/>
              <w:left w:w="200" w:type="dxa"/>
              <w:bottom w:w="100" w:type="dxa"/>
              <w:right w:w="140" w:type="dxa"/>
            </w:tcMar>
          </w:tcPr>
          <w:p w:rsidR="005F1EF0" w:rsidP="008D2625" w:rsidRDefault="005F1EF0" w14:paraId="78B93F9D" w14:textId="77777777">
            <w:pPr>
              <w:spacing w:before="100" w:after="60"/>
              <w:rPr>
                <w:kern w:val="2"/>
                <w14:ligatures w14:val="standardContextual"/>
              </w:rPr>
            </w:pPr>
            <w:r>
              <w:rPr>
                <w:rFonts w:ascii="Arial" w:hAnsi="Arial" w:cs="Arial"/>
                <w:b/>
                <w:bCs/>
                <w:sz w:val="20"/>
                <w:szCs w:val="20"/>
              </w:rPr>
              <w:t>Infraestructura y plataforma de datos</w:t>
            </w:r>
          </w:p>
          <w:p w:rsidRPr="00E26261" w:rsidR="005F1EF0" w:rsidP="008D2625" w:rsidRDefault="005F1EF0" w14:paraId="75CA63CA" w14:textId="77777777">
            <w:pPr>
              <w:spacing w:after="100"/>
              <w:jc w:val="both"/>
              <w:rPr>
                <w:kern w:val="2"/>
                <w14:ligatures w14:val="standardContextual"/>
              </w:rPr>
            </w:pPr>
            <w:r>
              <w:rPr>
                <w:color w:val="555555"/>
                <w:sz w:val="20"/>
                <w:szCs w:val="20"/>
              </w:rPr>
              <w:t xml:space="preserve">La evolución de la plataforma de datos hacia un </w:t>
            </w:r>
            <w:proofErr w:type="spellStart"/>
            <w:r>
              <w:rPr>
                <w:color w:val="555555"/>
                <w:sz w:val="20"/>
                <w:szCs w:val="20"/>
              </w:rPr>
              <w:t>Lakehouse</w:t>
            </w:r>
            <w:proofErr w:type="spellEnd"/>
            <w:r>
              <w:rPr>
                <w:color w:val="555555"/>
                <w:sz w:val="20"/>
                <w:szCs w:val="20"/>
              </w:rPr>
              <w:t xml:space="preserve"> representa una de las apuestas más relevantes de la compañía en infraestructura analítica en muchos años. La nueva arquitectura habilita una única fuente de la verdad, pone a disposición de la comunidad analítica y de la función de Gobierno del Dato capacidades de linaje, calidad y catálogo, y crea la base tecnológica necesaria para explotar la información de forma gobernada. La plataforma habilita el gobierno, pero no lo define: lo hace posible a escala.</w:t>
            </w:r>
          </w:p>
        </w:tc>
      </w:tr>
    </w:tbl>
    <w:p w:rsidR="005F1EF0" w:rsidP="005F1EF0" w:rsidRDefault="005F1EF0" w14:paraId="3B17FAE0" w14:textId="77777777">
      <w:pPr>
        <w:spacing w:before="80"/>
      </w:pPr>
    </w:p>
    <w:p w:rsidR="005F1EF0" w:rsidP="005F1EF0" w:rsidRDefault="005F1EF0" w14:paraId="3B17FAE1" w14:textId="77777777">
      <w:pPr>
        <w:pBdr>
          <w:top w:val="single" w:color="D3D1C7" w:sz="1" w:space="1"/>
        </w:pBdr>
        <w:spacing w:before="240"/>
      </w:pPr>
    </w:p>
    <w:p w:rsidR="005F1EF0" w:rsidP="005F1EF0" w:rsidRDefault="005F1EF0" w14:paraId="3B17FAE2" w14:textId="77777777">
      <w:pPr>
        <w:spacing w:before="200" w:after="160"/>
      </w:pPr>
      <w:r>
        <w:rPr>
          <w:rFonts w:ascii="Arial" w:hAnsi="Arial" w:cs="Arial"/>
          <w:b/>
          <w:sz w:val="24"/>
          <w:szCs w:val="24"/>
        </w:rPr>
        <w:t>Áreas implicadas y misión en el proyecto</w:t>
      </w:r>
    </w:p>
    <w:tbl>
      <w:tblPr>
        <w:tblW w:w="9026" w:type="dxa"/>
        <w:tblCellMar>
          <w:left w:w="10" w:type="dxa"/>
          <w:right w:w="10" w:type="dxa"/>
        </w:tblCellMar>
        <w:tblLook w:val="0000" w:firstRow="0" w:lastRow="0" w:firstColumn="0" w:lastColumn="0" w:noHBand="0" w:noVBand="0"/>
      </w:tblPr>
      <w:tblGrid>
        <w:gridCol w:w="2800"/>
        <w:gridCol w:w="6226"/>
      </w:tblGrid>
      <w:tr w:rsidR="005F1EF0" w:rsidTr="008D2625" w14:paraId="3B17FAE5" w14:textId="77777777">
        <w:trPr>
          <w:tblHeader/>
        </w:trPr>
        <w:tc>
          <w:tcPr>
            <w:tcW w:w="2800" w:type="dxa"/>
            <w:shd w:val="clear" w:color="auto" w:fill="3D3D3B"/>
            <w:tcMar>
              <w:top w:w="80" w:type="dxa"/>
              <w:left w:w="140" w:type="dxa"/>
              <w:bottom w:w="80" w:type="dxa"/>
              <w:right w:w="100" w:type="dxa"/>
            </w:tcMar>
          </w:tcPr>
          <w:p w:rsidR="005F1EF0" w:rsidP="008D2625" w:rsidRDefault="005F1EF0" w14:paraId="3B17FAE3" w14:textId="77777777">
            <w:pPr>
              <w:spacing w:before="80" w:after="80"/>
            </w:pPr>
            <w:r>
              <w:rPr>
                <w:rFonts w:ascii="Arial" w:hAnsi="Arial" w:cs="Arial"/>
                <w:b/>
                <w:color w:val="FFFFFF"/>
                <w:sz w:val="18"/>
                <w:szCs w:val="18"/>
              </w:rPr>
              <w:t>Área implicada</w:t>
            </w:r>
          </w:p>
        </w:tc>
        <w:tc>
          <w:tcPr>
            <w:tcW w:w="6226" w:type="dxa"/>
            <w:shd w:val="clear" w:color="auto" w:fill="3D3D3B"/>
            <w:tcMar>
              <w:top w:w="80" w:type="dxa"/>
              <w:left w:w="140" w:type="dxa"/>
              <w:bottom w:w="80" w:type="dxa"/>
              <w:right w:w="100" w:type="dxa"/>
            </w:tcMar>
          </w:tcPr>
          <w:p w:rsidR="005F1EF0" w:rsidP="008D2625" w:rsidRDefault="005F1EF0" w14:paraId="3B17FAE4" w14:textId="77777777">
            <w:pPr>
              <w:spacing w:before="80" w:after="80"/>
            </w:pPr>
            <w:r>
              <w:rPr>
                <w:rFonts w:ascii="Arial" w:hAnsi="Arial" w:cs="Arial"/>
                <w:b/>
                <w:color w:val="FFFFFF"/>
                <w:sz w:val="18"/>
                <w:szCs w:val="18"/>
              </w:rPr>
              <w:t>Misión en el proyecto</w:t>
            </w:r>
          </w:p>
        </w:tc>
      </w:tr>
      <w:tr w:rsidR="005F1EF0" w:rsidTr="008D2625" w14:paraId="3B17FAE8" w14:textId="77777777">
        <w:tc>
          <w:tcPr>
            <w:tcW w:w="28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3B17FAE6" w14:textId="77777777">
            <w:pPr>
              <w:spacing w:before="80" w:after="60"/>
            </w:pPr>
            <w:r>
              <w:rPr>
                <w:rFonts w:ascii="Arial" w:hAnsi="Arial" w:cs="Arial"/>
                <w:b/>
                <w:sz w:val="19"/>
                <w:szCs w:val="19"/>
              </w:rPr>
              <w:t>Tecnología</w:t>
            </w:r>
          </w:p>
        </w:tc>
        <w:tc>
          <w:tcPr>
            <w:tcW w:w="6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3B17FAE7" w14:textId="77777777">
            <w:pPr>
              <w:spacing w:after="80"/>
              <w:jc w:val="both"/>
            </w:pPr>
            <w:r>
              <w:rPr>
                <w:color w:val="555555"/>
                <w:sz w:val="19"/>
                <w:szCs w:val="19"/>
              </w:rPr>
              <w:t xml:space="preserve">Responsable de la implementación y operación de la nueva plataforma de datos (Data </w:t>
            </w:r>
            <w:proofErr w:type="spellStart"/>
            <w:r>
              <w:rPr>
                <w:color w:val="555555"/>
                <w:sz w:val="19"/>
                <w:szCs w:val="19"/>
              </w:rPr>
              <w:t>Lakehouse</w:t>
            </w:r>
            <w:proofErr w:type="spellEnd"/>
            <w:r>
              <w:rPr>
                <w:color w:val="555555"/>
                <w:sz w:val="19"/>
                <w:szCs w:val="19"/>
              </w:rPr>
              <w:t xml:space="preserve">), la </w:t>
            </w:r>
            <w:proofErr w:type="spellStart"/>
            <w:r>
              <w:rPr>
                <w:color w:val="555555"/>
                <w:sz w:val="19"/>
                <w:szCs w:val="19"/>
              </w:rPr>
              <w:t>disponibilización</w:t>
            </w:r>
            <w:proofErr w:type="spellEnd"/>
            <w:r>
              <w:rPr>
                <w:color w:val="555555"/>
                <w:sz w:val="19"/>
                <w:szCs w:val="19"/>
              </w:rPr>
              <w:t xml:space="preserve"> de las herramientas para toda la comunidad analítica y la integración con los sistemas </w:t>
            </w:r>
            <w:proofErr w:type="spellStart"/>
            <w:r>
              <w:rPr>
                <w:color w:val="555555"/>
                <w:sz w:val="19"/>
                <w:szCs w:val="19"/>
              </w:rPr>
              <w:t>core</w:t>
            </w:r>
            <w:proofErr w:type="spellEnd"/>
            <w:r>
              <w:rPr>
                <w:color w:val="555555"/>
                <w:sz w:val="19"/>
                <w:szCs w:val="19"/>
              </w:rPr>
              <w:t>.</w:t>
            </w:r>
          </w:p>
        </w:tc>
      </w:tr>
      <w:tr w:rsidR="005F1EF0" w:rsidTr="008D2625" w14:paraId="3B17FAEB" w14:textId="77777777">
        <w:tc>
          <w:tcPr>
            <w:tcW w:w="28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3B17FAE9" w14:textId="77777777">
            <w:pPr>
              <w:spacing w:before="80" w:after="60"/>
            </w:pPr>
            <w:r>
              <w:rPr>
                <w:rFonts w:ascii="Arial" w:hAnsi="Arial" w:cs="Arial"/>
                <w:b/>
                <w:sz w:val="19"/>
                <w:szCs w:val="19"/>
              </w:rPr>
              <w:t>Técnico</w:t>
            </w:r>
          </w:p>
        </w:tc>
        <w:tc>
          <w:tcPr>
            <w:tcW w:w="6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3B17FAEA" w14:textId="77777777">
            <w:pPr>
              <w:spacing w:after="80"/>
              <w:jc w:val="both"/>
            </w:pPr>
            <w:r>
              <w:rPr>
                <w:color w:val="555555"/>
                <w:sz w:val="19"/>
                <w:szCs w:val="19"/>
              </w:rPr>
              <w:t xml:space="preserve">Líder del proyecto y principal área con colectivo PI. Define los dominios de datos del área, aporta los primeros Data </w:t>
            </w:r>
            <w:proofErr w:type="spellStart"/>
            <w:r>
              <w:rPr>
                <w:color w:val="555555"/>
                <w:sz w:val="19"/>
                <w:szCs w:val="19"/>
              </w:rPr>
              <w:t>Owners</w:t>
            </w:r>
            <w:proofErr w:type="spellEnd"/>
            <w:r>
              <w:rPr>
                <w:color w:val="555555"/>
                <w:sz w:val="19"/>
                <w:szCs w:val="19"/>
              </w:rPr>
              <w:t xml:space="preserve"> y Data </w:t>
            </w:r>
            <w:proofErr w:type="spellStart"/>
            <w:r>
              <w:rPr>
                <w:color w:val="555555"/>
                <w:sz w:val="19"/>
                <w:szCs w:val="19"/>
              </w:rPr>
              <w:t>Stewards</w:t>
            </w:r>
            <w:proofErr w:type="spellEnd"/>
            <w:r>
              <w:rPr>
                <w:color w:val="555555"/>
                <w:sz w:val="19"/>
                <w:szCs w:val="19"/>
              </w:rPr>
              <w:t>, y pilota el modelo de gobierno en el dominio de Calidad.</w:t>
            </w:r>
          </w:p>
        </w:tc>
      </w:tr>
      <w:tr w:rsidR="005F1EF0" w:rsidTr="008D2625" w14:paraId="3B17FAEE" w14:textId="77777777">
        <w:tc>
          <w:tcPr>
            <w:tcW w:w="28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3B17FAEC" w14:textId="77777777">
            <w:pPr>
              <w:spacing w:before="80" w:after="60"/>
            </w:pPr>
            <w:r>
              <w:rPr>
                <w:rFonts w:ascii="Arial" w:hAnsi="Arial" w:cs="Arial"/>
                <w:b/>
                <w:sz w:val="19"/>
                <w:szCs w:val="19"/>
              </w:rPr>
              <w:t>Áreas de negocio</w:t>
            </w:r>
          </w:p>
        </w:tc>
        <w:tc>
          <w:tcPr>
            <w:tcW w:w="6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5F1EF0" w:rsidP="008D2625" w:rsidRDefault="005F1EF0" w14:paraId="3B17FAED" w14:textId="77777777">
            <w:pPr>
              <w:spacing w:after="80"/>
              <w:jc w:val="both"/>
            </w:pPr>
            <w:r>
              <w:rPr>
                <w:color w:val="555555"/>
                <w:sz w:val="19"/>
                <w:szCs w:val="19"/>
              </w:rPr>
              <w:t>Equipos con analistas distribuidos que deberán adaptarse al nuevo modelo: adoptar las herramientas de la plataforma, seguir las políticas y normas de gobierno, y en algunos casos asumir roles formales de responsabilidad sobre dominios de datos.</w:t>
            </w:r>
          </w:p>
        </w:tc>
      </w:tr>
      <w:tr w:rsidR="005F1EF0" w:rsidTr="008D2625" w14:paraId="3B17FAF1" w14:textId="77777777">
        <w:tc>
          <w:tcPr>
            <w:tcW w:w="28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3B17FAEF" w14:textId="77777777">
            <w:pPr>
              <w:spacing w:before="80" w:after="60"/>
            </w:pPr>
            <w:r>
              <w:rPr>
                <w:rFonts w:ascii="Arial" w:hAnsi="Arial" w:cs="Arial"/>
                <w:b/>
                <w:sz w:val="19"/>
                <w:szCs w:val="19"/>
              </w:rPr>
              <w:t>Personas</w:t>
            </w:r>
          </w:p>
        </w:tc>
        <w:tc>
          <w:tcPr>
            <w:tcW w:w="6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5F1EF0" w:rsidP="008D2625" w:rsidRDefault="005F1EF0" w14:paraId="3B17FAF0" w14:textId="77777777">
            <w:pPr>
              <w:spacing w:after="80"/>
              <w:jc w:val="both"/>
            </w:pPr>
            <w:r>
              <w:rPr>
                <w:color w:val="555555"/>
                <w:sz w:val="19"/>
                <w:szCs w:val="19"/>
              </w:rPr>
              <w:t xml:space="preserve">Responsable del acompañamiento al colectivo analítico en la transición: diseño e impartición del Programa PI 2.0, gestión del cambio cultural </w:t>
            </w:r>
            <w:r>
              <w:rPr>
                <w:color w:val="555555"/>
                <w:sz w:val="19"/>
                <w:szCs w:val="19"/>
              </w:rPr>
              <w:lastRenderedPageBreak/>
              <w:t>asociado a la adquisición de nuevos roles y adaptación de los perfiles analíticos en la organización.</w:t>
            </w:r>
          </w:p>
        </w:tc>
      </w:tr>
    </w:tbl>
    <w:p w:rsidR="005F1EF0" w:rsidP="005F1EF0" w:rsidRDefault="005F1EF0" w14:paraId="3B17FAF2" w14:textId="77777777">
      <w:pPr>
        <w:spacing w:before="100" w:after="100"/>
      </w:pPr>
    </w:p>
    <w:p w:rsidR="005F1EF0" w:rsidP="005F1EF0" w:rsidRDefault="005F1EF0" w14:paraId="3B17FAF3" w14:textId="77777777">
      <w:pPr>
        <w:pBdr>
          <w:bottom w:val="single" w:color="D3D1C7" w:sz="1" w:space="1"/>
        </w:pBdr>
        <w:spacing w:before="200" w:after="240"/>
      </w:pPr>
    </w:p>
    <w:p w:rsidR="005F1EF0" w:rsidP="005F1EF0" w:rsidRDefault="005F1EF0" w14:paraId="3B17FAF4" w14:textId="77777777">
      <w:pPr>
        <w:spacing w:after="120"/>
      </w:pPr>
      <w:r>
        <w:rPr>
          <w:rFonts w:ascii="Arial" w:hAnsi="Arial" w:cs="Arial"/>
          <w:color w:val="888888"/>
          <w:sz w:val="16"/>
          <w:szCs w:val="16"/>
        </w:rPr>
        <w:t>PROYECTOS INTERDEPENDIENTES</w:t>
      </w:r>
    </w:p>
    <w:p w:rsidR="005F1EF0" w:rsidP="005F1EF0" w:rsidRDefault="005F1EF0" w14:paraId="3B17FAF5" w14:textId="77777777">
      <w:pPr>
        <w:spacing w:after="160"/>
      </w:pPr>
      <w:r>
        <w:rPr>
          <w:rFonts w:ascii="Arial" w:hAnsi="Arial" w:cs="Arial"/>
          <w:b/>
          <w:sz w:val="30"/>
          <w:szCs w:val="30"/>
        </w:rPr>
        <w:t>Lo que este proyecto necesita que otros hagan bien, y lo que otros necesitan de este</w:t>
      </w:r>
    </w:p>
    <w:p w:rsidR="005F1EF0" w:rsidP="005F1EF0" w:rsidRDefault="005F1EF0" w14:paraId="3B17FAF6" w14:textId="77777777">
      <w:pPr>
        <w:spacing w:after="280"/>
        <w:jc w:val="both"/>
      </w:pPr>
      <w:r>
        <w:rPr>
          <w:i/>
          <w:color w:val="555555"/>
        </w:rPr>
        <w:t>El gobierno del dato es a la vez dependiente e impulsor. Necesita que determinados proyectos avancen para poder desplegar todo su potencial —y a la vez es condición necesaria para que otros proyectos cumplan sus promesas.</w:t>
      </w:r>
    </w:p>
    <w:tbl>
      <w:tblPr>
        <w:tblW w:w="9026" w:type="dxa"/>
        <w:tblCellMar>
          <w:left w:w="10" w:type="dxa"/>
          <w:right w:w="10" w:type="dxa"/>
        </w:tblCellMar>
        <w:tblLook w:val="0000" w:firstRow="0" w:lastRow="0" w:firstColumn="0" w:lastColumn="0" w:noHBand="0" w:noVBand="0"/>
      </w:tblPr>
      <w:tblGrid>
        <w:gridCol w:w="9026"/>
      </w:tblGrid>
      <w:tr w:rsidR="005F1EF0" w:rsidTr="008D2625" w14:paraId="3B17FAFA" w14:textId="77777777">
        <w:tc>
          <w:tcPr>
            <w:tcW w:w="9026" w:type="dxa"/>
            <w:tcBorders>
              <w:top w:val="single" w:color="BE2A2A" w:sz="4" w:space="0"/>
              <w:left w:val="single" w:color="BE2A2A" w:sz="18" w:space="0"/>
              <w:bottom w:val="single" w:color="BE2A2A" w:sz="4" w:space="0"/>
              <w:right w:val="single" w:color="BE2A2A" w:sz="4" w:space="0"/>
            </w:tcBorders>
            <w:shd w:val="clear" w:color="auto" w:fill="FFFFFF"/>
            <w:tcMar>
              <w:top w:w="120" w:type="dxa"/>
              <w:left w:w="200" w:type="dxa"/>
              <w:bottom w:w="120" w:type="dxa"/>
              <w:right w:w="140" w:type="dxa"/>
            </w:tcMar>
          </w:tcPr>
          <w:p w:rsidR="005F1EF0" w:rsidP="008D2625" w:rsidRDefault="005F1EF0" w14:paraId="3B17FAF7" w14:textId="77777777">
            <w:pPr>
              <w:spacing w:before="80" w:after="60"/>
            </w:pPr>
            <w:r>
              <w:rPr>
                <w:rFonts w:ascii="Arial" w:hAnsi="Arial" w:cs="Arial"/>
                <w:b/>
                <w:sz w:val="20"/>
                <w:szCs w:val="20"/>
              </w:rPr>
              <w:t>Proyecto CRM / Salesforce</w:t>
            </w:r>
          </w:p>
          <w:p w:rsidR="005F1EF0" w:rsidP="008D2625" w:rsidRDefault="005F1EF0" w14:paraId="3B17FAF8" w14:textId="77777777">
            <w:pPr>
              <w:spacing w:after="60"/>
            </w:pPr>
            <w:r>
              <w:rPr>
                <w:rFonts w:ascii="Arial" w:hAnsi="Arial" w:cs="Arial"/>
                <w:color w:val="BE2A2A"/>
                <w:sz w:val="17"/>
                <w:szCs w:val="17"/>
              </w:rPr>
              <w:t>Dependencia: Alta — bidireccional</w:t>
            </w:r>
          </w:p>
          <w:p w:rsidR="005F1EF0" w:rsidP="008D2625" w:rsidRDefault="005F1EF0" w14:paraId="3B17FAF9" w14:textId="77777777">
            <w:pPr>
              <w:spacing w:after="100"/>
              <w:jc w:val="both"/>
            </w:pPr>
            <w:r>
              <w:rPr>
                <w:color w:val="555555"/>
                <w:sz w:val="20"/>
                <w:szCs w:val="20"/>
              </w:rPr>
              <w:t>El CRM necesita que el dominio de datos de clientes esté gobernado para poder ofrecer una visión 360 fiable en tiempo real. Sin un dato de cliente limpio, unificado y con responsable claro, el perfil que verá el agente tendrá inconsistencias que erosionarán la confianza del equipo en la herramienta. A la inversa, el CRM será una fuente de datos de interacción que alimentará modelos analíticos y cuyo gobierno debe integrarse desde el diseño.</w:t>
            </w:r>
          </w:p>
        </w:tc>
      </w:tr>
    </w:tbl>
    <w:p w:rsidR="005F1EF0" w:rsidP="005F1EF0" w:rsidRDefault="005F1EF0" w14:paraId="3B17FAFB" w14:textId="77777777">
      <w:pPr>
        <w:spacing w:before="80"/>
      </w:pPr>
    </w:p>
    <w:tbl>
      <w:tblPr>
        <w:tblW w:w="9026" w:type="dxa"/>
        <w:tblCellMar>
          <w:left w:w="10" w:type="dxa"/>
          <w:right w:w="10" w:type="dxa"/>
        </w:tblCellMar>
        <w:tblLook w:val="0000" w:firstRow="0" w:lastRow="0" w:firstColumn="0" w:lastColumn="0" w:noHBand="0" w:noVBand="0"/>
      </w:tblPr>
      <w:tblGrid>
        <w:gridCol w:w="9026"/>
      </w:tblGrid>
      <w:tr w:rsidR="005F1EF0" w:rsidTr="008D2625" w14:paraId="3B17FAFF" w14:textId="77777777">
        <w:tc>
          <w:tcPr>
            <w:tcW w:w="9026" w:type="dxa"/>
            <w:tcBorders>
              <w:top w:val="single" w:color="8B6914" w:sz="4" w:space="0"/>
              <w:left w:val="single" w:color="8B6914" w:sz="18" w:space="0"/>
              <w:bottom w:val="single" w:color="8B6914" w:sz="4" w:space="0"/>
              <w:right w:val="single" w:color="8B6914" w:sz="4" w:space="0"/>
            </w:tcBorders>
            <w:shd w:val="clear" w:color="auto" w:fill="FFFFFF"/>
            <w:tcMar>
              <w:top w:w="120" w:type="dxa"/>
              <w:left w:w="200" w:type="dxa"/>
              <w:bottom w:w="120" w:type="dxa"/>
              <w:right w:w="140" w:type="dxa"/>
            </w:tcMar>
          </w:tcPr>
          <w:p w:rsidR="005F1EF0" w:rsidP="008D2625" w:rsidRDefault="005F1EF0" w14:paraId="3B17FAFC" w14:textId="77777777">
            <w:pPr>
              <w:spacing w:before="80" w:after="60"/>
            </w:pPr>
            <w:r>
              <w:rPr>
                <w:rFonts w:ascii="Arial" w:hAnsi="Arial" w:cs="Arial"/>
                <w:b/>
                <w:sz w:val="20"/>
                <w:szCs w:val="20"/>
              </w:rPr>
              <w:t>Migración a la nube de la plataforma de telefonía</w:t>
            </w:r>
          </w:p>
          <w:p w:rsidR="005F1EF0" w:rsidP="008D2625" w:rsidRDefault="005F1EF0" w14:paraId="3B17FAFD" w14:textId="77777777">
            <w:pPr>
              <w:spacing w:after="60"/>
            </w:pPr>
            <w:r>
              <w:rPr>
                <w:rFonts w:ascii="Arial" w:hAnsi="Arial" w:cs="Arial"/>
                <w:color w:val="8B6914"/>
                <w:sz w:val="17"/>
                <w:szCs w:val="17"/>
              </w:rPr>
              <w:t>Dependencia: Media-Alta</w:t>
            </w:r>
          </w:p>
          <w:p w:rsidR="005F1EF0" w:rsidP="008D2625" w:rsidRDefault="005F1EF0" w14:paraId="3B17FAFE" w14:textId="77777777">
            <w:pPr>
              <w:spacing w:after="100"/>
              <w:jc w:val="both"/>
            </w:pPr>
            <w:r>
              <w:rPr>
                <w:color w:val="555555"/>
                <w:sz w:val="20"/>
                <w:szCs w:val="20"/>
              </w:rPr>
              <w:t xml:space="preserve">Una plataforma de telefonía en la nube generará nuevos flujos de datos de interacción que deberán integrarse en el Data </w:t>
            </w:r>
            <w:proofErr w:type="spellStart"/>
            <w:r>
              <w:rPr>
                <w:color w:val="555555"/>
                <w:sz w:val="20"/>
                <w:szCs w:val="20"/>
              </w:rPr>
              <w:t>Lakehouse</w:t>
            </w:r>
            <w:proofErr w:type="spellEnd"/>
            <w:r>
              <w:rPr>
                <w:color w:val="555555"/>
                <w:sz w:val="20"/>
                <w:szCs w:val="20"/>
              </w:rPr>
              <w:t xml:space="preserve"> y gobernarse bajo las mismas políticas. El dominio de Telefonía es uno de los identificados en el mapa de dominios de datos y deberá tener su Data Owner y sus reglas de calidad definidas en cuanto la nueva plataforma esté operativa.</w:t>
            </w:r>
          </w:p>
        </w:tc>
      </w:tr>
    </w:tbl>
    <w:p w:rsidR="005F1EF0" w:rsidP="005F1EF0" w:rsidRDefault="005F1EF0" w14:paraId="3B17FB05" w14:textId="77777777">
      <w:pPr>
        <w:spacing w:before="80"/>
      </w:pPr>
    </w:p>
    <w:tbl>
      <w:tblPr>
        <w:tblW w:w="9026" w:type="dxa"/>
        <w:tblCellMar>
          <w:left w:w="10" w:type="dxa"/>
          <w:right w:w="10" w:type="dxa"/>
        </w:tblCellMar>
        <w:tblLook w:val="0000" w:firstRow="0" w:lastRow="0" w:firstColumn="0" w:lastColumn="0" w:noHBand="0" w:noVBand="0"/>
      </w:tblPr>
      <w:tblGrid>
        <w:gridCol w:w="9026"/>
      </w:tblGrid>
      <w:tr w:rsidR="005F1EF0" w:rsidTr="008D2625" w14:paraId="2347506D" w14:textId="77777777">
        <w:tc>
          <w:tcPr>
            <w:tcW w:w="9026" w:type="dxa"/>
            <w:tcBorders>
              <w:top w:val="single" w:color="8B6914" w:sz="4" w:space="0"/>
              <w:left w:val="single" w:color="8B6914" w:sz="18" w:space="0"/>
              <w:bottom w:val="single" w:color="8B6914" w:sz="4" w:space="0"/>
              <w:right w:val="single" w:color="8B6914" w:sz="4" w:space="0"/>
            </w:tcBorders>
            <w:shd w:val="clear" w:color="auto" w:fill="FFFFFF"/>
            <w:tcMar>
              <w:top w:w="120" w:type="dxa"/>
              <w:left w:w="200" w:type="dxa"/>
              <w:bottom w:w="120" w:type="dxa"/>
              <w:right w:w="140" w:type="dxa"/>
            </w:tcMar>
          </w:tcPr>
          <w:p w:rsidR="005F1EF0" w:rsidP="008D2625" w:rsidRDefault="005F1EF0" w14:paraId="54464C74" w14:textId="77777777">
            <w:pPr>
              <w:spacing w:before="80" w:after="60"/>
            </w:pPr>
            <w:r>
              <w:rPr>
                <w:rFonts w:ascii="Arial" w:hAnsi="Arial" w:cs="Arial"/>
                <w:b/>
                <w:sz w:val="20"/>
                <w:szCs w:val="20"/>
              </w:rPr>
              <w:t>Trabajando de un modo agile</w:t>
            </w:r>
          </w:p>
          <w:p w:rsidR="005F1EF0" w:rsidP="008D2625" w:rsidRDefault="005F1EF0" w14:paraId="27EFEB8A" w14:textId="77777777">
            <w:pPr>
              <w:spacing w:after="60"/>
            </w:pPr>
            <w:r>
              <w:rPr>
                <w:rFonts w:ascii="Arial" w:hAnsi="Arial" w:cs="Arial"/>
                <w:color w:val="8B6914"/>
                <w:sz w:val="17"/>
                <w:szCs w:val="17"/>
              </w:rPr>
              <w:t>Dependencia: Media-Alta</w:t>
            </w:r>
          </w:p>
          <w:p w:rsidR="005F1EF0" w:rsidP="008D2625" w:rsidRDefault="005F1EF0" w14:paraId="3A2BC81A" w14:textId="77777777">
            <w:pPr>
              <w:spacing w:after="100"/>
              <w:jc w:val="both"/>
              <w:rPr>
                <w:kern w:val="2"/>
                <w14:ligatures w14:val="standardContextual"/>
              </w:rPr>
            </w:pPr>
            <w:r>
              <w:rPr>
                <w:color w:val="555555"/>
                <w:sz w:val="20"/>
                <w:szCs w:val="20"/>
              </w:rPr>
              <w:t xml:space="preserve">La iniciativa de transformación del modo de trabajo hacia un modelo agile tiene una dependencia media-alta con el Gobierno del Dato, porque la forma de diseñar y construir dominios y productos de datos debe alinearse con ese nuevo modelo operativo. La creación de estos productos exigirá equipos multidisciplinares en los que participen de forma coordinada las áreas de negocio, IT y la función de Gobierno del Dato, incorporando desde el inicio criterios de prioridad, calidad, </w:t>
            </w:r>
            <w:proofErr w:type="spellStart"/>
            <w:r>
              <w:rPr>
                <w:color w:val="555555"/>
                <w:sz w:val="20"/>
                <w:szCs w:val="20"/>
              </w:rPr>
              <w:t>ownership</w:t>
            </w:r>
            <w:proofErr w:type="spellEnd"/>
            <w:r>
              <w:rPr>
                <w:color w:val="555555"/>
                <w:sz w:val="20"/>
                <w:szCs w:val="20"/>
              </w:rPr>
              <w:t xml:space="preserve"> y contexto de negocio. Si ambos proyectos no avanzan de forma coherente, existe el riesgo de definir productos de datos técnicamente viables pero desconectados de las dinámicas reales de trabajo y de decisión de la organización.</w:t>
            </w:r>
          </w:p>
          <w:p w:rsidR="005F1EF0" w:rsidP="008D2625" w:rsidRDefault="005F1EF0" w14:paraId="3CA86569" w14:textId="77777777">
            <w:pPr>
              <w:spacing w:after="100"/>
              <w:jc w:val="both"/>
            </w:pPr>
          </w:p>
        </w:tc>
      </w:tr>
    </w:tbl>
    <w:p w:rsidR="005F1EF0" w:rsidP="005F1EF0" w:rsidRDefault="005F1EF0" w14:paraId="01E532EE" w14:textId="77777777">
      <w:pPr>
        <w:spacing w:before="80"/>
      </w:pPr>
    </w:p>
    <w:tbl>
      <w:tblPr>
        <w:tblW w:w="9026" w:type="dxa"/>
        <w:tblCellMar>
          <w:left w:w="10" w:type="dxa"/>
          <w:right w:w="10" w:type="dxa"/>
        </w:tblCellMar>
        <w:tblLook w:val="0000" w:firstRow="0" w:lastRow="0" w:firstColumn="0" w:lastColumn="0" w:noHBand="0" w:noVBand="0"/>
      </w:tblPr>
      <w:tblGrid>
        <w:gridCol w:w="9026"/>
      </w:tblGrid>
      <w:tr w:rsidR="005F1EF0" w:rsidTr="008D2625" w14:paraId="0B0946C1" w14:textId="77777777">
        <w:tc>
          <w:tcPr>
            <w:tcW w:w="9026" w:type="dxa"/>
            <w:tcBorders>
              <w:top w:val="single" w:color="8B6914" w:sz="4" w:space="0"/>
              <w:left w:val="single" w:color="8B6914" w:sz="18" w:space="0"/>
              <w:bottom w:val="single" w:color="8B6914" w:sz="4" w:space="0"/>
              <w:right w:val="single" w:color="8B6914" w:sz="4" w:space="0"/>
            </w:tcBorders>
            <w:shd w:val="clear" w:color="auto" w:fill="FFFFFF"/>
            <w:tcMar>
              <w:top w:w="120" w:type="dxa"/>
              <w:left w:w="200" w:type="dxa"/>
              <w:bottom w:w="120" w:type="dxa"/>
              <w:right w:w="140" w:type="dxa"/>
            </w:tcMar>
          </w:tcPr>
          <w:p w:rsidR="005F1EF0" w:rsidP="008D2625" w:rsidRDefault="005F1EF0" w14:paraId="50DF72F5" w14:textId="77777777">
            <w:pPr>
              <w:spacing w:before="80" w:after="60"/>
            </w:pPr>
            <w:r>
              <w:rPr>
                <w:rFonts w:ascii="Arial" w:hAnsi="Arial" w:cs="Arial"/>
                <w:b/>
                <w:sz w:val="20"/>
                <w:szCs w:val="20"/>
              </w:rPr>
              <w:t xml:space="preserve">Plataforma de datos </w:t>
            </w:r>
            <w:proofErr w:type="spellStart"/>
            <w:r>
              <w:rPr>
                <w:rFonts w:ascii="Arial" w:hAnsi="Arial" w:cs="Arial"/>
                <w:b/>
                <w:sz w:val="20"/>
                <w:szCs w:val="20"/>
              </w:rPr>
              <w:t>cloud</w:t>
            </w:r>
            <w:proofErr w:type="spellEnd"/>
          </w:p>
          <w:p w:rsidR="005F1EF0" w:rsidP="008D2625" w:rsidRDefault="005F1EF0" w14:paraId="2749F813" w14:textId="77777777">
            <w:pPr>
              <w:spacing w:after="60"/>
            </w:pPr>
            <w:r>
              <w:rPr>
                <w:rFonts w:ascii="Arial" w:hAnsi="Arial" w:cs="Arial"/>
                <w:color w:val="BE2A2A"/>
                <w:sz w:val="17"/>
                <w:szCs w:val="17"/>
              </w:rPr>
              <w:t>Dependencia: Alta — bidireccional</w:t>
            </w:r>
          </w:p>
          <w:p w:rsidRPr="00142C97" w:rsidR="005F1EF0" w:rsidP="008D2625" w:rsidRDefault="005F1EF0" w14:paraId="3F8922CF" w14:textId="36E044E9">
            <w:pPr>
              <w:spacing w:after="100"/>
              <w:jc w:val="both"/>
              <w:rPr>
                <w:kern w:val="2"/>
                <w14:ligatures w14:val="standardContextual"/>
              </w:rPr>
            </w:pPr>
            <w:r>
              <w:rPr>
                <w:color w:val="555555"/>
                <w:sz w:val="20"/>
                <w:szCs w:val="20"/>
              </w:rPr>
              <w:lastRenderedPageBreak/>
              <w:t xml:space="preserve">La iniciativa de Gobierno del Dato está estrechamente ligada a la implantación de la nueva plataforma </w:t>
            </w:r>
            <w:proofErr w:type="spellStart"/>
            <w:r>
              <w:rPr>
                <w:color w:val="555555"/>
                <w:sz w:val="20"/>
                <w:szCs w:val="20"/>
              </w:rPr>
              <w:t>cloud</w:t>
            </w:r>
            <w:proofErr w:type="spellEnd"/>
            <w:r>
              <w:rPr>
                <w:color w:val="555555"/>
                <w:sz w:val="20"/>
                <w:szCs w:val="20"/>
              </w:rPr>
              <w:t xml:space="preserve">, porque habilitar a la comunidad analítica para trabajar sobre ella exige que los desarrollos se realicen en la nueva capa </w:t>
            </w:r>
            <w:proofErr w:type="spellStart"/>
            <w:r>
              <w:rPr>
                <w:color w:val="555555"/>
                <w:sz w:val="20"/>
                <w:szCs w:val="20"/>
              </w:rPr>
              <w:t>cmpETL</w:t>
            </w:r>
            <w:proofErr w:type="spellEnd"/>
            <w:r>
              <w:rPr>
                <w:color w:val="555555"/>
                <w:sz w:val="20"/>
                <w:szCs w:val="20"/>
              </w:rPr>
              <w:t xml:space="preserve"> y que IT disponga de un equipo y un modelo de gestión específicos para operar y evolucionar ese entorno. Al mismo tiempo, la reingeniería de los modelos de datos de los distintos dominios en la nueva plataforma representa una oportunidad clave para que esos datos nazcan ya gobernados, con definiciones, </w:t>
            </w:r>
            <w:proofErr w:type="spellStart"/>
            <w:r>
              <w:rPr>
                <w:color w:val="555555"/>
                <w:sz w:val="20"/>
                <w:szCs w:val="20"/>
              </w:rPr>
              <w:t>ownership</w:t>
            </w:r>
            <w:proofErr w:type="spellEnd"/>
            <w:r>
              <w:rPr>
                <w:color w:val="555555"/>
                <w:sz w:val="20"/>
                <w:szCs w:val="20"/>
              </w:rPr>
              <w:t xml:space="preserve">, reglas de calidad y trazabilidad incorporados desde el origen. Esta dependencia es plenamente bidireccional: la nueva infraestructura </w:t>
            </w:r>
            <w:proofErr w:type="spellStart"/>
            <w:r>
              <w:rPr>
                <w:color w:val="555555"/>
                <w:sz w:val="20"/>
                <w:szCs w:val="20"/>
              </w:rPr>
              <w:t>cloud</w:t>
            </w:r>
            <w:proofErr w:type="spellEnd"/>
            <w:r>
              <w:rPr>
                <w:color w:val="555555"/>
                <w:sz w:val="20"/>
                <w:szCs w:val="20"/>
              </w:rPr>
              <w:t xml:space="preserve"> necesita alinearse con la herramienta de Gobierno del Dato y con sus procesos, y el Gobierno del Dato necesita que la plataforma se implante con capacidades y criterios compatibles con ese nuevo marco de gestión.</w:t>
            </w:r>
          </w:p>
        </w:tc>
      </w:tr>
    </w:tbl>
    <w:p w:rsidR="005F1EF0" w:rsidP="005F1EF0" w:rsidRDefault="005F1EF0" w14:paraId="3B17FB06" w14:textId="77777777">
      <w:pPr>
        <w:spacing w:before="200" w:after="80"/>
      </w:pPr>
    </w:p>
    <w:p w:rsidR="005F1EF0" w:rsidP="005F1EF0" w:rsidRDefault="005F1EF0" w14:paraId="3B17FB07" w14:textId="77777777">
      <w:pPr>
        <w:spacing w:after="120"/>
        <w:jc w:val="both"/>
        <w:rPr>
          <w:i/>
          <w:color w:val="888888"/>
          <w:sz w:val="19"/>
          <w:szCs w:val="19"/>
        </w:rPr>
      </w:pPr>
      <w:r>
        <w:rPr>
          <w:i/>
          <w:color w:val="888888"/>
          <w:sz w:val="19"/>
          <w:szCs w:val="19"/>
        </w:rPr>
        <w:t>Esta lista no es exhaustiva. El mapa de dependencias se actualizará conforme avancen los proyectos y se identifiquen nuevos puntos de intersección.</w:t>
      </w:r>
    </w:p>
    <w:p w:rsidR="005F1EF0" w:rsidP="005F1EF0" w:rsidRDefault="005F1EF0" w14:paraId="30248D93" w14:textId="77777777">
      <w:pPr>
        <w:spacing w:after="120"/>
        <w:jc w:val="both"/>
      </w:pPr>
    </w:p>
    <w:tbl>
      <w:tblPr>
        <w:tblW w:w="9026" w:type="dxa"/>
        <w:tblLook w:val="04A0" w:firstRow="1" w:lastRow="0" w:firstColumn="1" w:lastColumn="0" w:noHBand="0" w:noVBand="1"/>
      </w:tblPr>
      <w:tblGrid>
        <w:gridCol w:w="9026"/>
      </w:tblGrid>
      <w:tr w:rsidR="005F1EF0" w:rsidTr="008D2625" w14:paraId="01253DDC" w14:textId="77777777">
        <w:tc>
          <w:tcPr>
            <w:tcW w:w="9026" w:type="dxa"/>
            <w:tcBorders>
              <w:top w:val="single" w:color="E0DED8" w:sz="4" w:space="0"/>
              <w:left w:val="single" w:color="8B6914" w:sz="18" w:space="0"/>
              <w:bottom w:val="single" w:color="E0DED8" w:sz="4" w:space="0"/>
              <w:right w:val="single" w:color="E0DED8" w:sz="4" w:space="0"/>
            </w:tcBorders>
            <w:shd w:val="clear" w:color="auto" w:fill="FFFFFF"/>
            <w:tcMar>
              <w:top w:w="100" w:type="dxa"/>
              <w:left w:w="200" w:type="dxa"/>
              <w:bottom w:w="100" w:type="dxa"/>
              <w:right w:w="140" w:type="dxa"/>
            </w:tcMar>
          </w:tcPr>
          <w:p w:rsidR="005F1EF0" w:rsidP="008D2625" w:rsidRDefault="005F1EF0" w14:paraId="2564CB40" w14:textId="77777777">
            <w:pPr>
              <w:spacing w:before="80" w:after="60"/>
            </w:pPr>
            <w:r>
              <w:rPr>
                <w:rFonts w:ascii="Arial" w:hAnsi="Arial" w:cs="Arial"/>
                <w:b/>
                <w:color w:val="8B6914"/>
                <w:sz w:val="20"/>
                <w:szCs w:val="20"/>
              </w:rPr>
              <w:t>Nota sobre el impacto en los informes y cuadros de mando actuales</w:t>
            </w:r>
          </w:p>
          <w:p w:rsidR="005F1EF0" w:rsidP="008D2625" w:rsidRDefault="005F1EF0" w14:paraId="26D62A65" w14:textId="20FB43E2">
            <w:pPr>
              <w:spacing w:after="100"/>
              <w:jc w:val="both"/>
            </w:pPr>
            <w:r>
              <w:rPr>
                <w:color w:val="555555"/>
                <w:sz w:val="20"/>
                <w:szCs w:val="20"/>
              </w:rPr>
              <w:t xml:space="preserve">La consolidación del </w:t>
            </w:r>
            <w:proofErr w:type="spellStart"/>
            <w:r>
              <w:rPr>
                <w:color w:val="555555"/>
                <w:sz w:val="20"/>
                <w:szCs w:val="20"/>
              </w:rPr>
              <w:t>reporting</w:t>
            </w:r>
            <w:proofErr w:type="spellEnd"/>
            <w:r>
              <w:rPr>
                <w:color w:val="555555"/>
                <w:sz w:val="20"/>
                <w:szCs w:val="20"/>
              </w:rPr>
              <w:t xml:space="preserve"> bajo una plataforma única y con normas de gobierno claras implica que una parte de los informes actualmente en uso van a cambiar o desaparecer. Las áreas de negocio deben anticipar esta transición: informes que hoy se obtienen de fuentes distintas pasarán a tener una única versión oficial; y algunos informes que no se usen o que sean redundantes con otros serán dados de baja. El proceso es ordenado y progresivo, pero requiere la participación proactiva de cada área para identificar qué informes son realmente necesarios, con qué frecuencia se usan y qué decisiones soportan. Cuanto antes se empiece esa conversación, mejor gestionada será la transición.</w:t>
            </w:r>
          </w:p>
        </w:tc>
      </w:tr>
    </w:tbl>
    <w:p w:rsidR="005F1EF0" w:rsidP="005F1EF0" w:rsidRDefault="005F1EF0" w14:paraId="3B17FB08" w14:textId="77777777">
      <w:pPr>
        <w:pBdr>
          <w:bottom w:val="single" w:color="D3D1C7" w:sz="1" w:space="1"/>
        </w:pBdr>
        <w:spacing w:before="280" w:after="120"/>
      </w:pPr>
    </w:p>
    <w:p w:rsidR="005F1EF0" w:rsidP="005F1EF0" w:rsidRDefault="005F1EF0" w14:paraId="0577EA55" w14:textId="77777777">
      <w:pPr>
        <w:pBdr>
          <w:bottom w:val="single" w:color="D3D1C7" w:sz="1" w:space="1"/>
        </w:pBdr>
        <w:spacing w:before="280" w:after="120"/>
      </w:pPr>
    </w:p>
    <w:p w:rsidR="005F1EF0" w:rsidP="005F1EF0" w:rsidRDefault="005F1EF0" w14:paraId="228A4990" w14:textId="77777777">
      <w:r>
        <w:rPr>
          <w:rFonts w:ascii="Arial" w:hAnsi="Arial" w:cs="Arial"/>
          <w:color w:val="888888"/>
          <w:sz w:val="16"/>
          <w:szCs w:val="16"/>
        </w:rPr>
        <w:t>Línea Directa Aseguradora · Documento de uso interno · Confidencial</w:t>
      </w:r>
    </w:p>
    <w:p w:rsidRPr="005F1EF0" w:rsidR="00F404BE" w:rsidP="005F1EF0" w:rsidRDefault="00F404BE" w14:paraId="3B17FB09" w14:textId="580124A9"/>
    <w:sectPr w:rsidRPr="005F1EF0" w:rsidR="00F404BE">
      <w:headerReference w:type="even" r:id="rId7"/>
      <w:headerReference w:type="default" r:id="rId8"/>
      <w:footerReference w:type="even" r:id="rId9"/>
      <w:footerReference w:type="default" r:id="rId10"/>
      <w:headerReference w:type="first" r:id="rId11"/>
      <w:footerReference w:type="first" r:id="rId12"/>
      <w:pgSz w:w="11906" w:h="16838" w:orient="portrait"/>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68BF" w:rsidP="00EC4A4B" w:rsidRDefault="00DD68BF" w14:paraId="4D7FCA00" w14:textId="77777777">
      <w:r>
        <w:separator/>
      </w:r>
    </w:p>
  </w:endnote>
  <w:endnote w:type="continuationSeparator" w:id="0">
    <w:p w:rsidR="00DD68BF" w:rsidP="00EC4A4B" w:rsidRDefault="00DD68BF" w14:paraId="3F29516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C4A4B" w:rsidRDefault="00EC4A4B" w14:paraId="3E672362" w14:textId="0173253B">
    <w:pPr>
      <w:pStyle w:val="Piedepgina"/>
    </w:pPr>
    <w:r>
      <w:rPr>
        <w:noProof/>
      </w:rPr>
      <mc:AlternateContent>
        <mc:Choice Requires="wps">
          <w:drawing>
            <wp:anchor distT="0" distB="0" distL="0" distR="0" simplePos="0" relativeHeight="251658244" behindDoc="0" locked="0" layoutInCell="1" allowOverlap="1" wp14:anchorId="3967EAD4" wp14:editId="5E9E9A39">
              <wp:simplePos x="635" y="635"/>
              <wp:positionH relativeFrom="page">
                <wp:align>center</wp:align>
              </wp:positionH>
              <wp:positionV relativeFrom="page">
                <wp:align>bottom</wp:align>
              </wp:positionV>
              <wp:extent cx="2259965" cy="314325"/>
              <wp:effectExtent l="0" t="0" r="6985" b="0"/>
              <wp:wrapNone/>
              <wp:docPr id="1779554116" name="Cuadro de texto 5"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rsidRPr="00EC4A4B" w:rsidR="00EC4A4B" w:rsidP="00EC4A4B" w:rsidRDefault="00EC4A4B" w14:paraId="50CE8D22" w14:textId="1F093023">
                          <w:pPr>
                            <w:rPr>
                              <w:rFonts w:ascii="Aptos" w:hAnsi="Aptos" w:eastAsia="Aptos" w:cs="Aptos"/>
                              <w:noProof/>
                              <w:color w:val="000000"/>
                              <w:sz w:val="16"/>
                              <w:szCs w:val="16"/>
                            </w:rPr>
                          </w:pPr>
                          <w:r w:rsidRPr="00EC4A4B">
                            <w:rPr>
                              <w:rFonts w:ascii="Aptos" w:hAnsi="Aptos" w:eastAsia="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967EAD4">
              <v:stroke joinstyle="miter"/>
              <v:path gradientshapeok="t" o:connecttype="rect"/>
            </v:shapetype>
            <v:shape id="Cuadro de texto 5" style="position:absolute;margin-left:0;margin-top:0;width:177.95pt;height:24.75pt;z-index:251658244;visibility:visible;mso-wrap-style:none;mso-wrap-distance-left:0;mso-wrap-distance-top:0;mso-wrap-distance-right:0;mso-wrap-distance-bottom:0;mso-position-horizontal:center;mso-position-horizontal-relative:page;mso-position-vertical:bottom;mso-position-vertical-relative:page;v-text-anchor:bottom" alt="Uso Interno - No compartir fuera de la organización."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09k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xkbL+C+oRTORgW7i3ftFh6y3x4Zg43jIOg&#10;asMTHlJBV1I4W5Q04H7+zR/zkXiMUtKhYkpqUNKUqO8GFxLFNRpuNKpkTBf5PMe4Oeh7QB1O8UlY&#10;nkz0uqBGUzrQr6jndSyEIWY4litpNZr3YZAuvgcu1uuUhDqyLGzNzvIIHemKXL70r8zZM+EBV/UI&#10;o5xY8Y73ITfe9HZ9CMh+WkqkdiDyzDhqMK31/F6iyN/+p6zrq179Ag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CCj09kDwIA&#10;AB0EAAAOAAAAAAAAAAAAAAAAAC4CAABkcnMvZTJvRG9jLnhtbFBLAQItABQABgAIAAAAIQBd/Y0g&#10;3AAAAAQBAAAPAAAAAAAAAAAAAAAAAGkEAABkcnMvZG93bnJldi54bWxQSwUGAAAAAAQABADzAAAA&#10;cgUAAAAA&#10;">
              <v:textbox style="mso-fit-shape-to-text:t" inset="0,0,0,15pt">
                <w:txbxContent>
                  <w:p w:rsidRPr="00EC4A4B" w:rsidR="00EC4A4B" w:rsidP="00EC4A4B" w:rsidRDefault="00EC4A4B" w14:paraId="50CE8D22" w14:textId="1F093023">
                    <w:pPr>
                      <w:rPr>
                        <w:rFonts w:ascii="Aptos" w:hAnsi="Aptos" w:eastAsia="Aptos" w:cs="Aptos"/>
                        <w:noProof/>
                        <w:color w:val="000000"/>
                        <w:sz w:val="16"/>
                        <w:szCs w:val="16"/>
                      </w:rPr>
                    </w:pPr>
                    <w:r w:rsidRPr="00EC4A4B">
                      <w:rPr>
                        <w:rFonts w:ascii="Aptos" w:hAnsi="Aptos" w:eastAsia="Aptos" w:cs="Aptos"/>
                        <w:noProof/>
                        <w:color w:val="000000"/>
                        <w:sz w:val="16"/>
                        <w:szCs w:val="16"/>
                      </w:rPr>
                      <w:t>Uso Interno - No compartir fuera de la organización.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F6C17" w:rsidR="005E278E" w:rsidRDefault="005E278E" w14:paraId="7771C566" w14:textId="12424EB3">
    <w:pPr>
      <w:pStyle w:val="Piedepgina"/>
      <w:rPr>
        <w:sz w:val="18"/>
        <w:szCs w:val="18"/>
      </w:rPr>
    </w:pPr>
    <w:r w:rsidRPr="004F6C17">
      <w:rPr>
        <w:sz w:val="18"/>
        <w:szCs w:val="18"/>
      </w:rPr>
      <w:t>(</w:t>
    </w:r>
    <w:r w:rsidRPr="004F6C17" w:rsidR="00A75210">
      <w:rPr>
        <w:sz w:val="18"/>
        <w:szCs w:val="18"/>
      </w:rPr>
      <w:t>*</w:t>
    </w:r>
    <w:r w:rsidRPr="004F6C17">
      <w:rPr>
        <w:sz w:val="18"/>
        <w:szCs w:val="18"/>
      </w:rPr>
      <w:t>)</w:t>
    </w:r>
    <w:r w:rsidRPr="004F6C17" w:rsidR="00A75210">
      <w:rPr>
        <w:sz w:val="18"/>
        <w:szCs w:val="18"/>
      </w:rPr>
      <w:t xml:space="preserve"> </w:t>
    </w:r>
    <w:proofErr w:type="spellStart"/>
    <w:r w:rsidRPr="004F6C17" w:rsidR="00A75210">
      <w:rPr>
        <w:sz w:val="18"/>
        <w:szCs w:val="18"/>
      </w:rPr>
      <w:t>cmpETL</w:t>
    </w:r>
    <w:proofErr w:type="spellEnd"/>
    <w:r w:rsidRPr="004F6C17" w:rsidR="00A75210">
      <w:rPr>
        <w:sz w:val="18"/>
        <w:szCs w:val="18"/>
      </w:rPr>
      <w:t xml:space="preserve">: </w:t>
    </w:r>
    <w:r w:rsidRPr="004F6C17" w:rsidR="004F6C17">
      <w:rPr>
        <w:sz w:val="18"/>
        <w:szCs w:val="18"/>
      </w:rPr>
      <w:t>librería que contiene funciones con las operaciones más comunes y cálculo de variables sin tener que conocer el detalle de las tablas y los cálculos. Nos permite mejorar la productividad y reducir errores</w:t>
    </w:r>
  </w:p>
  <w:p w:rsidR="00EC4A4B" w:rsidRDefault="00EC4A4B" w14:paraId="49BF1250" w14:textId="01FA393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C4A4B" w:rsidRDefault="00EC4A4B" w14:paraId="36A07B39" w14:textId="05F82A3C">
    <w:pPr>
      <w:pStyle w:val="Piedepgina"/>
    </w:pPr>
    <w:r>
      <w:rPr>
        <w:noProof/>
      </w:rPr>
      <mc:AlternateContent>
        <mc:Choice Requires="wps">
          <w:drawing>
            <wp:anchor distT="0" distB="0" distL="0" distR="0" simplePos="0" relativeHeight="251658243" behindDoc="0" locked="0" layoutInCell="1" allowOverlap="1" wp14:anchorId="1C78F7C5" wp14:editId="4D29A3D2">
              <wp:simplePos x="635" y="635"/>
              <wp:positionH relativeFrom="page">
                <wp:align>center</wp:align>
              </wp:positionH>
              <wp:positionV relativeFrom="page">
                <wp:align>bottom</wp:align>
              </wp:positionV>
              <wp:extent cx="2259965" cy="314325"/>
              <wp:effectExtent l="0" t="0" r="6985" b="0"/>
              <wp:wrapNone/>
              <wp:docPr id="1569484598" name="Cuadro de texto 4"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rsidRPr="00EC4A4B" w:rsidR="00EC4A4B" w:rsidP="00EC4A4B" w:rsidRDefault="00EC4A4B" w14:paraId="732D7821" w14:textId="32668EFD">
                          <w:pPr>
                            <w:rPr>
                              <w:rFonts w:ascii="Aptos" w:hAnsi="Aptos" w:eastAsia="Aptos" w:cs="Aptos"/>
                              <w:noProof/>
                              <w:color w:val="000000"/>
                              <w:sz w:val="16"/>
                              <w:szCs w:val="16"/>
                            </w:rPr>
                          </w:pPr>
                          <w:r w:rsidRPr="00EC4A4B">
                            <w:rPr>
                              <w:rFonts w:ascii="Aptos" w:hAnsi="Aptos" w:eastAsia="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C78F7C5">
              <v:stroke joinstyle="miter"/>
              <v:path gradientshapeok="t" o:connecttype="rect"/>
            </v:shapetype>
            <v:shape id="Cuadro de texto 4" style="position:absolute;margin-left:0;margin-top:0;width:177.95pt;height:24.75pt;z-index:251658243;visibility:visible;mso-wrap-style:none;mso-wrap-distance-left:0;mso-wrap-distance-top:0;mso-wrap-distance-right:0;mso-wrap-distance-bottom:0;mso-position-horizontal:center;mso-position-horizontal-relative:page;mso-position-vertical:bottom;mso-position-vertical-relative:page;v-text-anchor:bottom" alt="Uso Interno - No compartir fuera de la organización."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ODpEAIAAB0EAAAOAAAAZHJzL2Uyb0RvYy54bWysU8Fu2zAMvQ/YPwi6L3bSpliMOEXWIsOA&#10;oC2QDj3LshQbkERBUmJnXz9KjpOt22nYRaZJ6pF8fFre91qRo3C+BVPS6SSnRBgOdWv2Jf3+uvn0&#10;mRIfmKmZAiNKehKe3q8+flh2thAzaEDVwhEEMb7obEmbEGyRZZ43QjM/ASsMBiU4zQL+un1WO9Yh&#10;ulbZLM/vsg5cbR1w4T16H4cgXSV8KQUPz1J6EYgqKfYW0unSWcUzWy1ZsXfMNi0/t8H+oQvNWoNF&#10;L1CPLDBycO0fULrlDjzIMOGgM5Cy5SLNgNNM83fT7BpmRZoFyfH2QpP/f7D86bizL46E/gv0uMBI&#10;SGd94dEZ5+ml0/GLnRKMI4WnC22iD4SjczabLxZ3c0o4xm6mtzezeYTJrret8+GrAE2iUVKHa0ls&#10;sePWhyF1TInFDGxapdJqlPnNgZjRk11bjFboq560dUlvx/YrqE84lYNh4d7yTYult8yHF+ZwwzgI&#10;qjY84yEVdCWFs0VJA+7H3/wxH4nHKCUdKqakBiVNifpmcCFRXKPhRqNKxnSRz3OMm4N+ANThFJ+E&#10;5clErwtqNKUD/YZ6XsdCGGKGY7mSVqP5EAbp4nvgYr1OSagjy8LW7CyP0JGuyOVr/8acPRMecFVP&#10;MMqJFe94H3LjTW/Xh4Dsp6VEagciz4yjBtNaz+8livzX/5R1fdWrnwAAAP//AwBQSwMEFAAGAAgA&#10;AAAhAF39jSDcAAAABAEAAA8AAABkcnMvZG93bnJldi54bWxMj8FuwjAQRO+V+g/WVuqtOJCmKmkc&#10;hJA4UVUCeunN2EuSEq+j2IHw9932Ui4rjWY087ZYjK4VZ+xD40nBdJKAQDLeNlQp+Nyvn15BhKjJ&#10;6tYTKrhigEV5f1fo3PoLbfG8i5XgEgq5VlDH2OVSBlOj02HiOyT2jr53OrLsK2l7feFy18pZkrxI&#10;pxvihVp3uKrRnHaDU5Bt4/vwQfv0a5xdvzfdyqTHjVHq8WFcvoGIOMb/MPziMzqUzHTwA9kgWgX8&#10;SPy77KVZNgdxUPA8z0CWhbyFL38AAAD//wMAUEsBAi0AFAAGAAgAAAAhALaDOJL+AAAA4QEAABMA&#10;AAAAAAAAAAAAAAAAAAAAAFtDb250ZW50X1R5cGVzXS54bWxQSwECLQAUAAYACAAAACEAOP0h/9YA&#10;AACUAQAACwAAAAAAAAAAAAAAAAAvAQAAX3JlbHMvLnJlbHNQSwECLQAUAAYACAAAACEA7Azg6RAC&#10;AAAdBAAADgAAAAAAAAAAAAAAAAAuAgAAZHJzL2Uyb0RvYy54bWxQSwECLQAUAAYACAAAACEAXf2N&#10;INwAAAAEAQAADwAAAAAAAAAAAAAAAABqBAAAZHJzL2Rvd25yZXYueG1sUEsFBgAAAAAEAAQA8wAA&#10;AHMFAAAAAA==&#10;">
              <v:textbox style="mso-fit-shape-to-text:t" inset="0,0,0,15pt">
                <w:txbxContent>
                  <w:p w:rsidRPr="00EC4A4B" w:rsidR="00EC4A4B" w:rsidP="00EC4A4B" w:rsidRDefault="00EC4A4B" w14:paraId="732D7821" w14:textId="32668EFD">
                    <w:pPr>
                      <w:rPr>
                        <w:rFonts w:ascii="Aptos" w:hAnsi="Aptos" w:eastAsia="Aptos" w:cs="Aptos"/>
                        <w:noProof/>
                        <w:color w:val="000000"/>
                        <w:sz w:val="16"/>
                        <w:szCs w:val="16"/>
                      </w:rPr>
                    </w:pPr>
                    <w:r w:rsidRPr="00EC4A4B">
                      <w:rPr>
                        <w:rFonts w:ascii="Aptos" w:hAnsi="Aptos" w:eastAsia="Aptos" w:cs="Aptos"/>
                        <w:noProof/>
                        <w:color w:val="000000"/>
                        <w:sz w:val="16"/>
                        <w:szCs w:val="16"/>
                      </w:rPr>
                      <w:t>Uso Interno - No compartir fuera de la organización.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68BF" w:rsidP="00EC4A4B" w:rsidRDefault="00DD68BF" w14:paraId="37B7881D" w14:textId="77777777">
      <w:r>
        <w:separator/>
      </w:r>
    </w:p>
  </w:footnote>
  <w:footnote w:type="continuationSeparator" w:id="0">
    <w:p w:rsidR="00DD68BF" w:rsidP="00EC4A4B" w:rsidRDefault="00DD68BF" w14:paraId="33FA8A0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C4A4B" w:rsidRDefault="00EC4A4B" w14:paraId="1247B448" w14:textId="4C00B59A">
    <w:pPr>
      <w:pStyle w:val="Encabezado"/>
    </w:pPr>
    <w:r>
      <w:rPr>
        <w:noProof/>
      </w:rPr>
      <mc:AlternateContent>
        <mc:Choice Requires="wps">
          <w:drawing>
            <wp:anchor distT="0" distB="0" distL="0" distR="0" simplePos="0" relativeHeight="251658241" behindDoc="0" locked="0" layoutInCell="1" allowOverlap="1" wp14:anchorId="5243B1C8" wp14:editId="6FACAE85">
              <wp:simplePos x="635" y="635"/>
              <wp:positionH relativeFrom="page">
                <wp:align>left</wp:align>
              </wp:positionH>
              <wp:positionV relativeFrom="page">
                <wp:align>top</wp:align>
              </wp:positionV>
              <wp:extent cx="647700" cy="345440"/>
              <wp:effectExtent l="0" t="0" r="0" b="16510"/>
              <wp:wrapNone/>
              <wp:docPr id="314163901" name="Cuadro de texto 2"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rsidRPr="00EC4A4B" w:rsidR="00EC4A4B" w:rsidP="00EC4A4B" w:rsidRDefault="00EC4A4B" w14:paraId="51A435A3" w14:textId="23AA868F">
                          <w:pPr>
                            <w:rPr>
                              <w:rFonts w:ascii="Aptos" w:hAnsi="Aptos" w:eastAsia="Aptos" w:cs="Aptos"/>
                              <w:noProof/>
                              <w:color w:val="000000"/>
                              <w:sz w:val="20"/>
                              <w:szCs w:val="20"/>
                            </w:rPr>
                          </w:pPr>
                          <w:r w:rsidRPr="00EC4A4B">
                            <w:rPr>
                              <w:rFonts w:ascii="Aptos" w:hAnsi="Aptos" w:eastAsia="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243B1C8">
              <v:stroke joinstyle="miter"/>
              <v:path gradientshapeok="t" o:connecttype="rect"/>
            </v:shapetype>
            <v:shape id="Cuadro de texto 2" style="position:absolute;margin-left:0;margin-top:0;width:51pt;height:27.2pt;z-index:251658241;visibility:visible;mso-wrap-style:none;mso-wrap-distance-left:0;mso-wrap-distance-top:0;mso-wrap-distance-right:0;mso-wrap-distance-bottom:0;mso-position-horizontal:left;mso-position-horizontal-relative:page;mso-position-vertical:top;mso-position-vertical-relative:page;v-text-anchor:top" alt="Interno"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doDQIAABoEAAAOAAAAZHJzL2Uyb0RvYy54bWysU0uP2jAQvlfqf7B8LwkUdtuIsKK7oqqE&#10;dldiqz0bxyaRYo9lDyT013dsArTbnqpenHllHt98M7/rTcsOyocGbMnHo5wzZSVUjd2V/PvL6sMn&#10;zgIKW4kWrCr5UQV+t3j/bt65Qk2ghrZSnlESG4rOlbxGdEWWBVkrI8IInLLk1OCNQFL9Lqu86Ci7&#10;abNJnt9kHfjKeZAqBLI+nJx8kfJrrSQ+aR0Usrbk1Bum16d3G99sMRfFzgtXN3JoQ/xDF0Y0lope&#10;Uj0IFGzvmz9SmUZ6CKBxJMFkoHUjVZqBphnnb6bZ1MKpNAuBE9wFpvD/0srHw8Y9e4b9F+hpgRGQ&#10;zoUikDHO02tv4pc6ZeQnCI8X2FSPTJLxZnp7m5NHkuvjdDadJliz68/OB/yqwLAolNzTVhJY4rAO&#10;SAUp9BwSa1lYNW2bNtPa3wwUGC3ZtcMoYb/th7a3UB1pGg+nRQcnVw3VXIuAz8LTZqlNYis+0aNb&#10;6EoOg8RZDf7H3+wxngAnL2cdMaXklqjMWfvN0iIms2keh8ekjT/ns6j5pJGwPQt2b+6BSDime3Ay&#10;iTEO27OoPZhXIvMyViOXsJJqlhzP4j2eeEvHINVymYKIRE7g2m6cjKkjWBHJl/5VeDfAjbSnRzhz&#10;SRRvUD/Fxj+DW+6RsE8ricCe0BzwJgKmTQ3HEhn+q56irie9+AkAAP//AwBQSwMEFAAGAAgAAAAh&#10;ALRwbkvaAAAABAEAAA8AAABkcnMvZG93bnJldi54bWxMj09Lw0AQxe9Cv8Mygje7a0mlxGxKKQgK&#10;FrGWet1mJ39odjZkJ0389m696OXB4w3v/SZbT64VF+xD40nDw1yBQCq8bajScPh8vl+BCGzImtYT&#10;avjGAOt8dpOZ1PqRPvCy50rEEgqp0VAzd6mUoajRmTD3HVLMSt87w9H2lbS9GWO5a+VCqUfpTENx&#10;oTYdbmsszvvBaXhJwhcPZbkMu7fdqF5Hdxjej1rf3U6bJxCME/8dwxU/okMemU5+IBtEqyE+wr96&#10;zdQi2pOGZZKAzDP5Hz7/AQAA//8DAFBLAQItABQABgAIAAAAIQC2gziS/gAAAOEBAAATAAAAAAAA&#10;AAAAAAAAAAAAAABbQ29udGVudF9UeXBlc10ueG1sUEsBAi0AFAAGAAgAAAAhADj9If/WAAAAlAEA&#10;AAsAAAAAAAAAAAAAAAAALwEAAF9yZWxzLy5yZWxzUEsBAi0AFAAGAAgAAAAhAMo7F2gNAgAAGgQA&#10;AA4AAAAAAAAAAAAAAAAALgIAAGRycy9lMm9Eb2MueG1sUEsBAi0AFAAGAAgAAAAhALRwbkvaAAAA&#10;BAEAAA8AAAAAAAAAAAAAAAAAZwQAAGRycy9kb3ducmV2LnhtbFBLBQYAAAAABAAEAPMAAABuBQAA&#10;AAA=&#10;">
              <v:textbox style="mso-fit-shape-to-text:t" inset="20pt,15pt,0,0">
                <w:txbxContent>
                  <w:p w:rsidRPr="00EC4A4B" w:rsidR="00EC4A4B" w:rsidP="00EC4A4B" w:rsidRDefault="00EC4A4B" w14:paraId="51A435A3" w14:textId="23AA868F">
                    <w:pPr>
                      <w:rPr>
                        <w:rFonts w:ascii="Aptos" w:hAnsi="Aptos" w:eastAsia="Aptos" w:cs="Aptos"/>
                        <w:noProof/>
                        <w:color w:val="000000"/>
                        <w:sz w:val="20"/>
                        <w:szCs w:val="20"/>
                      </w:rPr>
                    </w:pPr>
                    <w:r w:rsidRPr="00EC4A4B">
                      <w:rPr>
                        <w:rFonts w:ascii="Aptos" w:hAnsi="Aptos" w:eastAsia="Aptos" w:cs="Aptos"/>
                        <w:noProof/>
                        <w:color w:val="000000"/>
                        <w:sz w:val="20"/>
                        <w:szCs w:val="20"/>
                      </w:rPr>
                      <w:t>Interno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C4A4B" w:rsidRDefault="00EC4A4B" w14:paraId="0817F6BF" w14:textId="56B51138">
    <w:pPr>
      <w:pStyle w:val="Encabezado"/>
    </w:pPr>
    <w:r>
      <w:rPr>
        <w:noProof/>
      </w:rPr>
      <mc:AlternateContent>
        <mc:Choice Requires="wps">
          <w:drawing>
            <wp:anchor distT="0" distB="0" distL="0" distR="0" simplePos="0" relativeHeight="251658242" behindDoc="0" locked="0" layoutInCell="1" allowOverlap="1" wp14:anchorId="7B6263C3" wp14:editId="1028584F">
              <wp:simplePos x="635" y="635"/>
              <wp:positionH relativeFrom="page">
                <wp:align>left</wp:align>
              </wp:positionH>
              <wp:positionV relativeFrom="page">
                <wp:align>top</wp:align>
              </wp:positionV>
              <wp:extent cx="647700" cy="345440"/>
              <wp:effectExtent l="0" t="0" r="0" b="16510"/>
              <wp:wrapNone/>
              <wp:docPr id="902466982" name="Cuadro de texto 3"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rsidRPr="00EC4A4B" w:rsidR="00EC4A4B" w:rsidP="00EC4A4B" w:rsidRDefault="00EC4A4B" w14:paraId="6812E750" w14:textId="3840D96E">
                          <w:pPr>
                            <w:rPr>
                              <w:rFonts w:ascii="Aptos" w:hAnsi="Aptos" w:eastAsia="Aptos" w:cs="Aptos"/>
                              <w:noProof/>
                              <w:color w:val="000000"/>
                              <w:sz w:val="20"/>
                              <w:szCs w:val="20"/>
                            </w:rPr>
                          </w:pPr>
                          <w:r w:rsidRPr="00EC4A4B">
                            <w:rPr>
                              <w:rFonts w:ascii="Aptos" w:hAnsi="Aptos" w:eastAsia="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B6263C3">
              <v:stroke joinstyle="miter"/>
              <v:path gradientshapeok="t" o:connecttype="rect"/>
            </v:shapetype>
            <v:shape id="Cuadro de texto 3" style="position:absolute;margin-left:0;margin-top:0;width:51pt;height:27.2pt;z-index:251658242;visibility:visible;mso-wrap-style:none;mso-wrap-distance-left:0;mso-wrap-distance-top:0;mso-wrap-distance-right:0;mso-wrap-distance-bottom:0;mso-position-horizontal:left;mso-position-horizontal-relative:page;mso-position-vertical:top;mso-position-vertical-relative:page;v-text-anchor:top" alt="Interno"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CnEAIAACEEAAAOAAAAZHJzL2Uyb0RvYy54bWysU01v2zAMvQ/YfxB0X+xkSdsZcYqsRYYB&#10;QVsgHXpWZDk2IImCxMTOfv0o5avrdip6kSmS5sd7T9Pb3mi2Uz60YEs+HOScKSuhau2m5L+eF19u&#10;OAsobCU0WFXyvQr8dvb507RzhRpBA7pSnlERG4rOlbxBdEWWBdkoI8IAnLIUrMEbgXT1m6zyoqPq&#10;RmejPL/KOvCV8yBVCOS9PwT5LNWvayXxsa6DQqZLTrNhOn061/HMZlNRbLxwTSuPY4h3TGFEa6np&#10;udS9QMG2vv2nlGmlhwA1DiSYDOq6lSrtQNsM8zfbrBrhVNqFwAnuDFP4uLLyYbdyT55h/x16IjAC&#10;0rlQBHLGffram/ilSRnFCcL9GTbVI5PkvBpfX+cUkRT6Op6MxwnW7PKz8wF/KDAsGiX3xEoCS+yW&#10;AakhpZ5SYi8Li1brxIy2fzkoMXqyy4TRwn7ds7Z6Nf0aqj0t5eHAd3By0VLrpQj4JDwRTNOSaPGR&#10;jlpDV3I4Wpw14H//zx/zCXeKctaRYEpuSdGc6Z+W+BhNxnnEANNt+C2fxJtPNzLWJ8NuzR2QFof0&#10;LJxMZsxDfTJrD+aFND2P3SgkrKSeJceTeYcH+dKbkGo+T0mkJSdwaVdOxtIRswjoc/8ivDuijkTX&#10;A5wkJYo34B9y45/BzbdIFCRmIr4HNI+wkw4TYcc3E4X++p6yLi979gcAAP//AwBQSwMEFAAGAAgA&#10;AAAhALRwbkvaAAAABAEAAA8AAABkcnMvZG93bnJldi54bWxMj09Lw0AQxe9Cv8Mygje7a0mlxGxK&#10;KQgKFrGWet1mJ39odjZkJ0389m696OXB4w3v/SZbT64VF+xD40nDw1yBQCq8bajScPh8vl+BCGzI&#10;mtYTavjGAOt8dpOZ1PqRPvCy50rEEgqp0VAzd6mUoajRmTD3HVLMSt87w9H2lbS9GWO5a+VCqUfp&#10;TENxoTYdbmsszvvBaXhJwhcPZbkMu7fdqF5Hdxjej1rf3U6bJxCME/8dwxU/okMemU5+IBtEqyE+&#10;wr96zdQi2pOGZZKAzDP5Hz7/AQAA//8DAFBLAQItABQABgAIAAAAIQC2gziS/gAAAOEBAAATAAAA&#10;AAAAAAAAAAAAAAAAAABbQ29udGVudF9UeXBlc10ueG1sUEsBAi0AFAAGAAgAAAAhADj9If/WAAAA&#10;lAEAAAsAAAAAAAAAAAAAAAAALwEAAF9yZWxzLy5yZWxzUEsBAi0AFAAGAAgAAAAhACaZQKcQAgAA&#10;IQQAAA4AAAAAAAAAAAAAAAAALgIAAGRycy9lMm9Eb2MueG1sUEsBAi0AFAAGAAgAAAAhALRwbkva&#10;AAAABAEAAA8AAAAAAAAAAAAAAAAAagQAAGRycy9kb3ducmV2LnhtbFBLBQYAAAAABAAEAPMAAABx&#10;BQAAAAA=&#10;">
              <v:textbox style="mso-fit-shape-to-text:t" inset="20pt,15pt,0,0">
                <w:txbxContent>
                  <w:p w:rsidRPr="00EC4A4B" w:rsidR="00EC4A4B" w:rsidP="00EC4A4B" w:rsidRDefault="00EC4A4B" w14:paraId="6812E750" w14:textId="3840D96E">
                    <w:pPr>
                      <w:rPr>
                        <w:rFonts w:ascii="Aptos" w:hAnsi="Aptos" w:eastAsia="Aptos" w:cs="Aptos"/>
                        <w:noProof/>
                        <w:color w:val="000000"/>
                        <w:sz w:val="20"/>
                        <w:szCs w:val="20"/>
                      </w:rPr>
                    </w:pPr>
                    <w:r w:rsidRPr="00EC4A4B">
                      <w:rPr>
                        <w:rFonts w:ascii="Aptos" w:hAnsi="Aptos" w:eastAsia="Aptos" w:cs="Aptos"/>
                        <w:noProof/>
                        <w:color w:val="000000"/>
                        <w:sz w:val="20"/>
                        <w:szCs w:val="20"/>
                      </w:rPr>
                      <w:t>Interno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C4A4B" w:rsidRDefault="00EC4A4B" w14:paraId="3D0ABE32" w14:textId="7D67EBC6">
    <w:pPr>
      <w:pStyle w:val="Encabezado"/>
    </w:pPr>
    <w:r>
      <w:rPr>
        <w:noProof/>
      </w:rPr>
      <mc:AlternateContent>
        <mc:Choice Requires="wps">
          <w:drawing>
            <wp:anchor distT="0" distB="0" distL="0" distR="0" simplePos="0" relativeHeight="251658240" behindDoc="0" locked="0" layoutInCell="1" allowOverlap="1" wp14:anchorId="16CD03B8" wp14:editId="5D2378FA">
              <wp:simplePos x="635" y="635"/>
              <wp:positionH relativeFrom="page">
                <wp:align>left</wp:align>
              </wp:positionH>
              <wp:positionV relativeFrom="page">
                <wp:align>top</wp:align>
              </wp:positionV>
              <wp:extent cx="647700" cy="345440"/>
              <wp:effectExtent l="0" t="0" r="0" b="16510"/>
              <wp:wrapNone/>
              <wp:docPr id="2014142877" name="Cuadro de texto 1"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rsidRPr="00EC4A4B" w:rsidR="00EC4A4B" w:rsidP="00EC4A4B" w:rsidRDefault="00EC4A4B" w14:paraId="7763FF30" w14:textId="5241CA00">
                          <w:pPr>
                            <w:rPr>
                              <w:rFonts w:ascii="Aptos" w:hAnsi="Aptos" w:eastAsia="Aptos" w:cs="Aptos"/>
                              <w:noProof/>
                              <w:color w:val="000000"/>
                              <w:sz w:val="20"/>
                              <w:szCs w:val="20"/>
                            </w:rPr>
                          </w:pPr>
                          <w:r w:rsidRPr="00EC4A4B">
                            <w:rPr>
                              <w:rFonts w:ascii="Aptos" w:hAnsi="Aptos" w:eastAsia="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6CD03B8">
              <v:stroke joinstyle="miter"/>
              <v:path gradientshapeok="t" o:connecttype="rect"/>
            </v:shapetype>
            <v:shape id="Cuadro de texto 1" style="position:absolute;margin-left:0;margin-top:0;width:51pt;height:27.2pt;z-index:251658240;visibility:visible;mso-wrap-style:none;mso-wrap-distance-left:0;mso-wrap-distance-top:0;mso-wrap-distance-right:0;mso-wrap-distance-bottom:0;mso-position-horizontal:left;mso-position-horizontal-relative:page;mso-position-vertical:top;mso-position-vertical-relative:page;v-text-anchor:top" alt="Interno"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DJtEgIAACEEAAAOAAAAZHJzL2Uyb0RvYy54bWysU02P2jAQvVfqf7B8LwkUdtuIsKK7oqqE&#10;dldiqz0bxyaRYo9lDyT013dsCLTbnqpenPHMZD7ee57f9aZlB+VDA7bk41HOmbISqsbuSv79ZfXh&#10;E2cBha1EC1aV/KgCv1u8fzfvXKEmUENbKc+oiA1F50peI7oiy4KslRFhBE5ZCmrwRiBd/S6rvOio&#10;ummzSZ7fZB34ynmQKgTyPpyCfJHqa60kPmkdFLK25DQbptOncxvPbDEXxc4LVzfyPIb4hymMaCw1&#10;vZR6ECjY3jd/lDKN9BBA40iCyUDrRqq0A20zzt9ss6mFU2kXAie4C0zh/5WVj4eNe/YM+y/QE4ER&#10;kM6FIpAz7tNrb+KXJmUUJwiPF9hUj0yS82Z6e5tTRFLo43Q2nSZYs+vPzgf8qsCwaJTcEysJLHFY&#10;B6SGlDqkxF4WVk3bJmZa+5uDEqMnu04YLey3PWsqaj5Mv4XqSEt5OPEdnFw11HotAj4LTwTTtCRa&#10;fKJDt9CVHM4WZzX4H3/zx3zCnaKcdSSYkltSNGftN0t8TGbTPGKA6Tb+nM/izacbGdvBsHtzD6TF&#10;MT0LJ5MZ87AdTO3BvJKml7EbhYSV1LPkOJj3eJIvvQmplsuURFpyAtd242QsHTGLgL70r8K7M+pI&#10;dD3CIClRvAH/lBv/DG65R6IgMRPxPaF5hp10mAg7v5ko9F/vKev6shc/AQAA//8DAFBLAwQUAAYA&#10;CAAAACEAtHBuS9oAAAAEAQAADwAAAGRycy9kb3ducmV2LnhtbEyPT0vDQBDF70K/wzKCN7trSaXE&#10;bEopCAoWsZZ63WYnf2h2NmQnTfz2br3o5cHjDe/9JltPrhUX7EPjScPDXIFAKrxtqNJw+Hy+X4EI&#10;bMia1hNq+MYA63x2k5nU+pE+8LLnSsQSCqnRUDN3qZShqNGZMPcdUsxK3zvD0faVtL0ZY7lr5UKp&#10;R+lMQ3GhNh1uayzO+8FpeEnCFw9luQy7t92oXkd3GN6PWt/dTpsnEIwT/x3DFT+iQx6ZTn4gG0Sr&#10;IT7Cv3rN1CLak4ZlkoDMM/kfPv8BAAD//wMAUEsBAi0AFAAGAAgAAAAhALaDOJL+AAAA4QEAABMA&#10;AAAAAAAAAAAAAAAAAAAAAFtDb250ZW50X1R5cGVzXS54bWxQSwECLQAUAAYACAAAACEAOP0h/9YA&#10;AACUAQAACwAAAAAAAAAAAAAAAAAvAQAAX3JlbHMvLnJlbHNQSwECLQAUAAYACAAAACEAh4AybRIC&#10;AAAhBAAADgAAAAAAAAAAAAAAAAAuAgAAZHJzL2Uyb0RvYy54bWxQSwECLQAUAAYACAAAACEAtHBu&#10;S9oAAAAEAQAADwAAAAAAAAAAAAAAAABsBAAAZHJzL2Rvd25yZXYueG1sUEsFBgAAAAAEAAQA8wAA&#10;AHMFAAAAAA==&#10;">
              <v:textbox style="mso-fit-shape-to-text:t" inset="20pt,15pt,0,0">
                <w:txbxContent>
                  <w:p w:rsidRPr="00EC4A4B" w:rsidR="00EC4A4B" w:rsidP="00EC4A4B" w:rsidRDefault="00EC4A4B" w14:paraId="7763FF30" w14:textId="5241CA00">
                    <w:pPr>
                      <w:rPr>
                        <w:rFonts w:ascii="Aptos" w:hAnsi="Aptos" w:eastAsia="Aptos" w:cs="Aptos"/>
                        <w:noProof/>
                        <w:color w:val="000000"/>
                        <w:sz w:val="20"/>
                        <w:szCs w:val="20"/>
                      </w:rPr>
                    </w:pPr>
                    <w:r w:rsidRPr="00EC4A4B">
                      <w:rPr>
                        <w:rFonts w:ascii="Aptos" w:hAnsi="Aptos" w:eastAsia="Aptos" w:cs="Aptos"/>
                        <w:noProof/>
                        <w:color w:val="000000"/>
                        <w:sz w:val="20"/>
                        <w:szCs w:val="20"/>
                      </w:rPr>
                      <w:t>Interno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D269D"/>
    <w:multiLevelType w:val="hybridMultilevel"/>
    <w:tmpl w:val="3926F404"/>
    <w:lvl w:ilvl="0" w:tplc="D95082FA">
      <w:start w:val="1"/>
      <w:numFmt w:val="bullet"/>
      <w:lvlText w:val="●"/>
      <w:lvlJc w:val="left"/>
      <w:pPr>
        <w:ind w:left="720" w:hanging="360"/>
      </w:pPr>
    </w:lvl>
    <w:lvl w:ilvl="1" w:tplc="3482DFD8">
      <w:start w:val="1"/>
      <w:numFmt w:val="bullet"/>
      <w:lvlText w:val="○"/>
      <w:lvlJc w:val="left"/>
      <w:pPr>
        <w:ind w:left="1440" w:hanging="360"/>
      </w:pPr>
    </w:lvl>
    <w:lvl w:ilvl="2" w:tplc="FD5EB42C">
      <w:start w:val="1"/>
      <w:numFmt w:val="bullet"/>
      <w:lvlText w:val="■"/>
      <w:lvlJc w:val="left"/>
      <w:pPr>
        <w:ind w:left="2160" w:hanging="360"/>
      </w:pPr>
    </w:lvl>
    <w:lvl w:ilvl="3" w:tplc="81CA95E0">
      <w:start w:val="1"/>
      <w:numFmt w:val="bullet"/>
      <w:lvlText w:val="●"/>
      <w:lvlJc w:val="left"/>
      <w:pPr>
        <w:ind w:left="2880" w:hanging="360"/>
      </w:pPr>
    </w:lvl>
    <w:lvl w:ilvl="4" w:tplc="18A0FDF8">
      <w:start w:val="1"/>
      <w:numFmt w:val="bullet"/>
      <w:lvlText w:val="○"/>
      <w:lvlJc w:val="left"/>
      <w:pPr>
        <w:ind w:left="3600" w:hanging="360"/>
      </w:pPr>
    </w:lvl>
    <w:lvl w:ilvl="5" w:tplc="C138F81A">
      <w:start w:val="1"/>
      <w:numFmt w:val="bullet"/>
      <w:lvlText w:val="■"/>
      <w:lvlJc w:val="left"/>
      <w:pPr>
        <w:ind w:left="4320" w:hanging="360"/>
      </w:pPr>
    </w:lvl>
    <w:lvl w:ilvl="6" w:tplc="8F08B96A">
      <w:start w:val="1"/>
      <w:numFmt w:val="bullet"/>
      <w:lvlText w:val="●"/>
      <w:lvlJc w:val="left"/>
      <w:pPr>
        <w:ind w:left="5040" w:hanging="360"/>
      </w:pPr>
    </w:lvl>
    <w:lvl w:ilvl="7" w:tplc="85C4277A">
      <w:start w:val="1"/>
      <w:numFmt w:val="bullet"/>
      <w:lvlText w:val="●"/>
      <w:lvlJc w:val="left"/>
      <w:pPr>
        <w:ind w:left="5760" w:hanging="360"/>
      </w:pPr>
    </w:lvl>
    <w:lvl w:ilvl="8" w:tplc="E820A5BA">
      <w:start w:val="1"/>
      <w:numFmt w:val="bullet"/>
      <w:lvlText w:val="●"/>
      <w:lvlJc w:val="left"/>
      <w:pPr>
        <w:ind w:left="6480" w:hanging="360"/>
      </w:pPr>
    </w:lvl>
  </w:abstractNum>
  <w:num w:numId="1" w16cid:durableId="16231472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4BE"/>
    <w:rsid w:val="0004402B"/>
    <w:rsid w:val="000530BB"/>
    <w:rsid w:val="00060DFB"/>
    <w:rsid w:val="00142C97"/>
    <w:rsid w:val="001F1259"/>
    <w:rsid w:val="00203F1E"/>
    <w:rsid w:val="00227616"/>
    <w:rsid w:val="002F0B39"/>
    <w:rsid w:val="00357427"/>
    <w:rsid w:val="003B20F9"/>
    <w:rsid w:val="003E1D48"/>
    <w:rsid w:val="00407D4F"/>
    <w:rsid w:val="004B0569"/>
    <w:rsid w:val="004F6C17"/>
    <w:rsid w:val="005446F7"/>
    <w:rsid w:val="0059139F"/>
    <w:rsid w:val="005B0C32"/>
    <w:rsid w:val="005C0C52"/>
    <w:rsid w:val="005E278E"/>
    <w:rsid w:val="005F1EF0"/>
    <w:rsid w:val="00601EF9"/>
    <w:rsid w:val="00625D57"/>
    <w:rsid w:val="006969E7"/>
    <w:rsid w:val="006D4892"/>
    <w:rsid w:val="00753DB9"/>
    <w:rsid w:val="007A09D2"/>
    <w:rsid w:val="007D4EB0"/>
    <w:rsid w:val="007E2D16"/>
    <w:rsid w:val="008429B7"/>
    <w:rsid w:val="008F7832"/>
    <w:rsid w:val="0092323E"/>
    <w:rsid w:val="009950CA"/>
    <w:rsid w:val="009975C9"/>
    <w:rsid w:val="009C07FD"/>
    <w:rsid w:val="00A37676"/>
    <w:rsid w:val="00A5550F"/>
    <w:rsid w:val="00A75210"/>
    <w:rsid w:val="00AE0A96"/>
    <w:rsid w:val="00B07849"/>
    <w:rsid w:val="00B5531D"/>
    <w:rsid w:val="00B70BF5"/>
    <w:rsid w:val="00B770F1"/>
    <w:rsid w:val="00C11808"/>
    <w:rsid w:val="00CF20B5"/>
    <w:rsid w:val="00DD68BF"/>
    <w:rsid w:val="00EB5911"/>
    <w:rsid w:val="00EC4A4B"/>
    <w:rsid w:val="00F21681"/>
    <w:rsid w:val="00F404BE"/>
    <w:rsid w:val="00F433CB"/>
    <w:rsid w:val="00F76B5F"/>
    <w:rsid w:val="00F827BB"/>
    <w:rsid w:val="00FF5EF3"/>
    <w:rsid w:val="1E63ADEE"/>
    <w:rsid w:val="436E1E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7FA62"/>
  <w15:docId w15:val="{24082E43-82FA-4239-9D09-D450BF16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hAnsi="Georgia" w:eastAsia="Georgia" w:cs="Georgia"/>
        <w:color w:val="2C2C2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C4A4B"/>
    <w:pPr>
      <w:tabs>
        <w:tab w:val="center" w:pos="4252"/>
        <w:tab w:val="right" w:pos="8504"/>
      </w:tabs>
    </w:pPr>
  </w:style>
  <w:style w:type="character" w:styleId="EncabezadoCar" w:customStyle="1">
    <w:name w:val="Encabezado Car"/>
    <w:basedOn w:val="Fuentedeprrafopredeter"/>
    <w:link w:val="Encabezado"/>
    <w:uiPriority w:val="99"/>
    <w:rsid w:val="00EC4A4B"/>
  </w:style>
  <w:style w:type="paragraph" w:styleId="Piedepgina">
    <w:name w:val="footer"/>
    <w:basedOn w:val="Normal"/>
    <w:link w:val="PiedepginaCar"/>
    <w:uiPriority w:val="99"/>
    <w:unhideWhenUsed/>
    <w:rsid w:val="00EC4A4B"/>
    <w:pPr>
      <w:tabs>
        <w:tab w:val="center" w:pos="4252"/>
        <w:tab w:val="right" w:pos="8504"/>
      </w:tabs>
    </w:pPr>
  </w:style>
  <w:style w:type="character" w:styleId="PiedepginaCar" w:customStyle="1">
    <w:name w:val="Pie de página Car"/>
    <w:basedOn w:val="Fuentedeprrafopredeter"/>
    <w:link w:val="Piedepgina"/>
    <w:uiPriority w:val="99"/>
    <w:rsid w:val="00EC4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8BB309973A6DE44A1BFE5432371160D" ma:contentTypeVersion="10" ma:contentTypeDescription="Crear nuevo documento." ma:contentTypeScope="" ma:versionID="b0825f9c35a7c3854605de53a3c7ae9f">
  <xsd:schema xmlns:xsd="http://www.w3.org/2001/XMLSchema" xmlns:xs="http://www.w3.org/2001/XMLSchema" xmlns:p="http://schemas.microsoft.com/office/2006/metadata/properties" xmlns:ns2="04193494-f6b7-4b38-ba18-ede97f73ccfd" targetNamespace="http://schemas.microsoft.com/office/2006/metadata/properties" ma:root="true" ma:fieldsID="3035e4646904acacf692b0a8489d90cc" ns2:_="">
    <xsd:import namespace="04193494-f6b7-4b38-ba18-ede97f73cc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93494-f6b7-4b38-ba18-ede97f73c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c93ba224-6a42-47cf-994a-bd0f2c22a18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193494-f6b7-4b38-ba18-ede97f73cc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DC1BF7-15AD-4F41-9EBA-F174B1DA3022}"/>
</file>

<file path=customXml/itemProps2.xml><?xml version="1.0" encoding="utf-8"?>
<ds:datastoreItem xmlns:ds="http://schemas.openxmlformats.org/officeDocument/2006/customXml" ds:itemID="{9305A9B4-19F1-45D2-9B1C-D294FC7C3AE8}"/>
</file>

<file path=customXml/itemProps3.xml><?xml version="1.0" encoding="utf-8"?>
<ds:datastoreItem xmlns:ds="http://schemas.openxmlformats.org/officeDocument/2006/customXml" ds:itemID="{E016DB79-9828-4316-AEAD-DA58E1281976}"/>
</file>

<file path=docMetadata/LabelInfo.xml><?xml version="1.0" encoding="utf-8"?>
<clbl:labelList xmlns:clbl="http://schemas.microsoft.com/office/2020/mipLabelMetadata">
  <clbl:label id="{83661b87-7810-4813-8bd9-dd2ee6a65052}" enabled="1" method="Standard" siteId="{223943b3-0f38-442c-90e3-00f9c3b6b43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CAMILO LLOPIS LLORENS</cp:lastModifiedBy>
  <cp:revision>46</cp:revision>
  <dcterms:created xsi:type="dcterms:W3CDTF">2026-05-28T10:38:00Z</dcterms:created>
  <dcterms:modified xsi:type="dcterms:W3CDTF">2026-06-23T16:30:09Z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780d619d,12b9c2bd,35ca8da6</vt:lpwstr>
  </property>
  <property fmtid="{D5CDD505-2E9C-101B-9397-08002B2CF9AE}" pid="3" name="ClassificationContentMarkingHeaderFontProps">
    <vt:lpwstr>#000000,10,Aptos</vt:lpwstr>
  </property>
  <property fmtid="{D5CDD505-2E9C-101B-9397-08002B2CF9AE}" pid="4" name="ClassificationContentMarkingHeaderText">
    <vt:lpwstr>Interno</vt:lpwstr>
  </property>
  <property fmtid="{D5CDD505-2E9C-101B-9397-08002B2CF9AE}" pid="5" name="ClassificationContentMarkingFooterShapeIds">
    <vt:lpwstr>5d8c6f36,6a11d744,124a89cc</vt:lpwstr>
  </property>
  <property fmtid="{D5CDD505-2E9C-101B-9397-08002B2CF9AE}" pid="6" name="ClassificationContentMarkingFooterFontProps">
    <vt:lpwstr>#000000,8,Aptos</vt:lpwstr>
  </property>
  <property fmtid="{D5CDD505-2E9C-101B-9397-08002B2CF9AE}" pid="7" name="ClassificationContentMarkingFooterText">
    <vt:lpwstr>Uso Interno - No compartir fuera de la organización.</vt:lpwstr>
  </property>
  <property fmtid="{D5CDD505-2E9C-101B-9397-08002B2CF9AE}" pid="8" name="ContentTypeId">
    <vt:lpwstr>0x010100C8BB309973A6DE44A1BFE5432371160D</vt:lpwstr>
  </property>
</Properties>
</file>