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EB9B6" w14:textId="77777777" w:rsidR="0099152D" w:rsidRDefault="00450A3F">
      <w:pPr>
        <w:spacing w:after="60"/>
      </w:pPr>
      <w:r>
        <w:rPr>
          <w:rFonts w:ascii="Arial" w:hAnsi="Arial" w:cs="Arial"/>
          <w:color w:val="888888"/>
          <w:sz w:val="16"/>
          <w:szCs w:val="16"/>
        </w:rPr>
        <w:t>PARA USO INTERNO · CONFIDENCIAL · DOCUMENTO WORKING BACKWARDS</w:t>
      </w:r>
    </w:p>
    <w:p w14:paraId="4E8770C1" w14:textId="77777777" w:rsidR="0099152D" w:rsidRDefault="00450A3F">
      <w:pPr>
        <w:spacing w:after="120"/>
      </w:pPr>
      <w:r>
        <w:rPr>
          <w:rFonts w:ascii="Arial" w:hAnsi="Arial" w:cs="Arial"/>
          <w:color w:val="555555"/>
          <w:sz w:val="18"/>
          <w:szCs w:val="18"/>
        </w:rPr>
        <w:t>Versión 1.0 — Iniciativa IA en Voz y Chat Digital</w:t>
      </w:r>
    </w:p>
    <w:p w14:paraId="11DD1B02" w14:textId="650A0C63" w:rsidR="007244D3" w:rsidRDefault="00450A3F">
      <w:pPr>
        <w:spacing w:after="160"/>
        <w:rPr>
          <w:rFonts w:ascii="Arial" w:hAnsi="Arial" w:cs="Arial"/>
          <w:b/>
          <w:sz w:val="38"/>
          <w:szCs w:val="38"/>
        </w:rPr>
      </w:pPr>
      <w:r>
        <w:rPr>
          <w:rFonts w:ascii="Arial" w:hAnsi="Arial" w:cs="Arial"/>
          <w:b/>
          <w:sz w:val="38"/>
          <w:szCs w:val="38"/>
        </w:rPr>
        <w:t>Línea Directa despliega agentes conversacionales de inteligencia artificial</w:t>
      </w:r>
      <w:r w:rsidR="007244D3">
        <w:rPr>
          <w:rFonts w:ascii="Arial" w:hAnsi="Arial" w:cs="Arial"/>
          <w:b/>
          <w:sz w:val="38"/>
          <w:szCs w:val="38"/>
        </w:rPr>
        <w:t xml:space="preserve"> en voz y chat</w:t>
      </w:r>
      <w:r w:rsidR="00A46204">
        <w:rPr>
          <w:rFonts w:ascii="Arial" w:hAnsi="Arial" w:cs="Arial"/>
          <w:b/>
          <w:sz w:val="38"/>
          <w:szCs w:val="38"/>
        </w:rPr>
        <w:t xml:space="preserve">, reduciendo </w:t>
      </w:r>
      <w:r w:rsidR="002D79BE">
        <w:rPr>
          <w:rFonts w:ascii="Arial" w:hAnsi="Arial" w:cs="Arial"/>
          <w:b/>
          <w:sz w:val="38"/>
          <w:szCs w:val="38"/>
        </w:rPr>
        <w:t xml:space="preserve">a 0 </w:t>
      </w:r>
      <w:r w:rsidR="007244D3">
        <w:rPr>
          <w:rFonts w:ascii="Arial" w:hAnsi="Arial" w:cs="Arial"/>
          <w:b/>
          <w:sz w:val="38"/>
          <w:szCs w:val="38"/>
        </w:rPr>
        <w:t>el abandono telefónic</w:t>
      </w:r>
      <w:r w:rsidR="00041EE4">
        <w:rPr>
          <w:rFonts w:ascii="Arial" w:hAnsi="Arial" w:cs="Arial"/>
          <w:b/>
          <w:sz w:val="38"/>
          <w:szCs w:val="38"/>
        </w:rPr>
        <w:t>o</w:t>
      </w:r>
      <w:r w:rsidR="007244D3">
        <w:rPr>
          <w:rFonts w:ascii="Arial" w:hAnsi="Arial" w:cs="Arial"/>
          <w:b/>
          <w:sz w:val="38"/>
          <w:szCs w:val="38"/>
        </w:rPr>
        <w:t xml:space="preserve"> y que más del 70% de las conversaciones del chat sean gestionadas de manera desasistida</w:t>
      </w:r>
    </w:p>
    <w:p w14:paraId="63AB576A" w14:textId="77777777" w:rsidR="0099152D" w:rsidRDefault="00450A3F">
      <w:pPr>
        <w:spacing w:after="200"/>
      </w:pPr>
      <w:r>
        <w:rPr>
          <w:i/>
          <w:color w:val="555555"/>
          <w:sz w:val="24"/>
          <w:szCs w:val="24"/>
        </w:rPr>
        <w:t>El cliente que escribe o llama a Línea Directa encontrará un agente que le entiende desde la primera frase, recuerda el contexto de lo que ha dicho antes y es capaz de resolver sin transferirle. No un árbol de opciones. Una conversación.</w:t>
      </w:r>
    </w:p>
    <w:p w14:paraId="3F455B65" w14:textId="77777777" w:rsidR="0099152D" w:rsidRDefault="0099152D">
      <w:pPr>
        <w:pBdr>
          <w:bottom w:val="single" w:sz="1" w:space="1" w:color="D3D1C7"/>
        </w:pBdr>
        <w:spacing w:after="240"/>
      </w:pPr>
    </w:p>
    <w:p w14:paraId="62CFFC05" w14:textId="77777777" w:rsidR="0099152D" w:rsidRDefault="00450A3F">
      <w:pPr>
        <w:spacing w:after="200"/>
      </w:pPr>
      <w:r>
        <w:rPr>
          <w:rFonts w:ascii="Arial" w:hAnsi="Arial" w:cs="Arial"/>
          <w:color w:val="888888"/>
          <w:sz w:val="18"/>
          <w:szCs w:val="18"/>
        </w:rPr>
        <w:t>Madrid, 2026 — Para distribución interna inmediata</w:t>
      </w:r>
    </w:p>
    <w:p w14:paraId="60042CD9" w14:textId="77777777" w:rsidR="0099152D" w:rsidRDefault="00450A3F">
      <w:pPr>
        <w:spacing w:after="180"/>
        <w:jc w:val="both"/>
      </w:pPr>
      <w:r>
        <w:t>Línea Directa lanza el proyecto de IA en Voz y Chat Digital, su apuesta más ambiciosa por las experiencias conversacionales de última generación en los dos canales de mayor volumen de interacción con el cliente. El proyecto nace de una confluencia de factores que se han vuelto urgentes al mismo tiempo: el crecimiento del volumen de interacciones supera la capacidad de crecer en equipos humanos al mismo ritmo, las expectativas del cliente sobre lo que debe ser una conversación digital han cambiado radicalmente, y la tecnología de IA conversacional ha alcanzado un nivel de madurez que hace posible lo que hace tres años no lo era.</w:t>
      </w:r>
    </w:p>
    <w:p w14:paraId="1B39634A" w14:textId="612D4009" w:rsidR="0099152D" w:rsidRDefault="00450A3F">
      <w:pPr>
        <w:spacing w:after="200"/>
        <w:jc w:val="both"/>
      </w:pPr>
      <w:r>
        <w:t xml:space="preserve">La base de partida es sólida. En el canal de chat, la compañía </w:t>
      </w:r>
      <w:r w:rsidR="007244D3">
        <w:t>ha gestionado en 2025</w:t>
      </w:r>
      <w:r>
        <w:t xml:space="preserve"> más de 2 millones de conversaciones, con un 65% resueltas por el asistente virtual. Es un logro considerable, pero el sistema que lo sustenta es determinista: fue construido con la tecnología del 2023, funciona por reglas, no entiende el contexto de la conversación y envía al agente humano en cuanto la consulta sale del árbol de opciones previsto. El volumen de chats crecerá más de un 30% interanual, y el equipo de atención no puede crecer en la misma proporción. La eficiencia tiene que venir de la calidad de la IA, no del número de agentes. En el canal de voz, la situación es más urgente: más de 10 millones de llamadas al año, una tasa de abandono que ronda el 10%, y picos de demanda que generan esperas inasumibles en un servicio que el cliente percibe como crítico. La compañía ha desplegado en los primeros meses de 2026 los primeros casos de uso de agentes de voz con IA bajo el paradigma conversacional, con resultados prometedores</w:t>
      </w:r>
      <w:r w:rsidR="007244D3">
        <w:t xml:space="preserve">, </w:t>
      </w:r>
      <w:r>
        <w:t xml:space="preserve">pero con una tasa de resolución inferior a la esperada, limitada por las restricciones de la plataforma de </w:t>
      </w:r>
      <w:proofErr w:type="spellStart"/>
      <w:r>
        <w:t>contact</w:t>
      </w:r>
      <w:proofErr w:type="spellEnd"/>
      <w:r>
        <w:t xml:space="preserve"> center actual y los procesos del IVR heredado.</w:t>
      </w:r>
    </w:p>
    <w:tbl>
      <w:tblPr>
        <w:tblW w:w="9026" w:type="dxa"/>
        <w:tblCellMar>
          <w:left w:w="10" w:type="dxa"/>
          <w:right w:w="10" w:type="dxa"/>
        </w:tblCellMar>
        <w:tblLook w:val="04A0" w:firstRow="1" w:lastRow="0" w:firstColumn="1" w:lastColumn="0" w:noHBand="0" w:noVBand="1"/>
      </w:tblPr>
      <w:tblGrid>
        <w:gridCol w:w="9026"/>
      </w:tblGrid>
      <w:tr w:rsidR="0099152D" w14:paraId="742E6846" w14:textId="77777777">
        <w:tc>
          <w:tcPr>
            <w:tcW w:w="9026" w:type="dxa"/>
            <w:tcBorders>
              <w:left w:val="single" w:sz="18" w:space="0" w:color="B4B2A9"/>
            </w:tcBorders>
            <w:shd w:val="clear" w:color="auto" w:fill="F8F7F4"/>
            <w:tcMar>
              <w:top w:w="160" w:type="dxa"/>
              <w:left w:w="280" w:type="dxa"/>
              <w:bottom w:w="120" w:type="dxa"/>
              <w:right w:w="200" w:type="dxa"/>
            </w:tcMar>
          </w:tcPr>
          <w:p w14:paraId="03A2DB4A" w14:textId="14CA72A5" w:rsidR="0099152D" w:rsidRDefault="00450A3F">
            <w:pPr>
              <w:spacing w:after="60"/>
              <w:jc w:val="both"/>
            </w:pPr>
            <w:r>
              <w:rPr>
                <w:i/>
                <w:color w:val="555555"/>
                <w:sz w:val="21"/>
                <w:szCs w:val="21"/>
              </w:rPr>
              <w:t>“Tenemos un chat que funciona, pero que no conversa. Tenemos un IVR que enruta, pero que no entiende. Y tenemos clientes que en 2026 esperan lo mismo de su aseguradora que de cualquier otro servicio digital que usan cada día. Este proyecto existe para cerrar es</w:t>
            </w:r>
            <w:r w:rsidR="007551FE">
              <w:rPr>
                <w:i/>
                <w:color w:val="555555"/>
                <w:sz w:val="21"/>
                <w:szCs w:val="21"/>
              </w:rPr>
              <w:t>t</w:t>
            </w:r>
            <w:r>
              <w:rPr>
                <w:i/>
                <w:color w:val="555555"/>
                <w:sz w:val="21"/>
                <w:szCs w:val="21"/>
              </w:rPr>
              <w:t>a brecha.”</w:t>
            </w:r>
          </w:p>
          <w:p w14:paraId="19C34B5A" w14:textId="18F8D917" w:rsidR="0099152D" w:rsidRDefault="00450A3F">
            <w:pPr>
              <w:spacing w:before="60"/>
            </w:pPr>
            <w:r>
              <w:rPr>
                <w:rFonts w:ascii="Arial" w:hAnsi="Arial" w:cs="Arial"/>
                <w:color w:val="888888"/>
                <w:sz w:val="17"/>
                <w:szCs w:val="17"/>
              </w:rPr>
              <w:t xml:space="preserve">— </w:t>
            </w:r>
            <w:proofErr w:type="gramStart"/>
            <w:r>
              <w:rPr>
                <w:rFonts w:ascii="Arial" w:hAnsi="Arial" w:cs="Arial"/>
                <w:color w:val="888888"/>
                <w:sz w:val="17"/>
                <w:szCs w:val="17"/>
              </w:rPr>
              <w:t>Directora</w:t>
            </w:r>
            <w:proofErr w:type="gramEnd"/>
            <w:r>
              <w:rPr>
                <w:rFonts w:ascii="Arial" w:hAnsi="Arial" w:cs="Arial"/>
                <w:color w:val="888888"/>
                <w:sz w:val="17"/>
                <w:szCs w:val="17"/>
              </w:rPr>
              <w:t xml:space="preserve"> de Transformación, Línea Directa Aseguradora</w:t>
            </w:r>
          </w:p>
        </w:tc>
      </w:tr>
    </w:tbl>
    <w:p w14:paraId="3363488E" w14:textId="77777777" w:rsidR="0099152D" w:rsidRDefault="0099152D">
      <w:pPr>
        <w:spacing w:before="200"/>
      </w:pPr>
    </w:p>
    <w:p w14:paraId="02E344A2" w14:textId="48C81E95" w:rsidR="0099152D" w:rsidRDefault="00450A3F">
      <w:pPr>
        <w:spacing w:after="200"/>
        <w:jc w:val="both"/>
      </w:pPr>
      <w:r>
        <w:t xml:space="preserve">El proyecto actúa en tres planos simultáneos. El primero es tecnológico: cambiar la plataforma sobre la que están construidos ambos canales, abandonando la lógica </w:t>
      </w:r>
      <w:r w:rsidR="004E232D">
        <w:t xml:space="preserve">rígida y </w:t>
      </w:r>
      <w:r>
        <w:t xml:space="preserve">determinista para pasar a arquitecturas conversacionales capaces de mantener el contexto, relacionar temas distintos dentro de la misma conversación y aprender de cada interacción. El segundo es de conocimiento: construir lo que el equipo llama el ‘cerebro de Línea Directa’, una base de conocimiento estructurada que alimenta a los agentes de IA con la información que hoy vive dispersa en documentos, procedimientos internos y en la cabeza de los agentes con más </w:t>
      </w:r>
      <w:r>
        <w:lastRenderedPageBreak/>
        <w:t xml:space="preserve">experiencia. El manual de marca, la voz de Línea Directa, las operativas y procedimientos: todo debe estar documentado, estructurado y accesible para que el agente de IA pueda responder como un experto de la compañía. El tercero es de diseño de experiencia: </w:t>
      </w:r>
      <w:r w:rsidR="007244D3">
        <w:t xml:space="preserve">donde </w:t>
      </w:r>
      <w:r w:rsidR="008A2F24">
        <w:t>se diseña</w:t>
      </w:r>
      <w:r>
        <w:t xml:space="preserve"> cada conversación, definiendo cómo debe comportarse el agente en cada caso de uso, cómo debe escalar al humano cuando corresponde y cómo debe mantener la voz y el carácter de la marca en cada intercambio.</w:t>
      </w:r>
    </w:p>
    <w:p w14:paraId="63CCB48B" w14:textId="7096E3BD" w:rsidR="0099152D" w:rsidRDefault="00450A3F">
      <w:pPr>
        <w:spacing w:after="240"/>
        <w:jc w:val="both"/>
      </w:pPr>
      <w:r>
        <w:t>El modelo resultante es híbrido por diseño: los canales serán atendidos por agentes de IA y por personas, con una frontera entre ambos que se mueve en función de la complejidad del caso. Los casos sencillos —consultas de estado de póliza, peticiones de documentación, cambios de datos, preguntas frecuentes— los resuelve la IA de forma inmediata, sin espera, a cualquier hora</w:t>
      </w:r>
      <w:r w:rsidR="00E22028">
        <w:t>:</w:t>
      </w:r>
      <w:r w:rsidR="00675BC1">
        <w:t xml:space="preserve"> el agente de IA tiene acceso previo </w:t>
      </w:r>
      <w:r w:rsidR="00E22028">
        <w:t>a la ficha de cliente, sus interacciones previas y su situación actual</w:t>
      </w:r>
      <w:r>
        <w:t>. Los casos complejos o los momentos de alta sensibilidad emocional —un siniestro importante, una queja, una situación que requiere criterio— los recibe el agente humano con el contexto completo de lo que ya ha ocurrido en la conversación. El cliente no repite. El agente no empieza desde cero.</w:t>
      </w:r>
    </w:p>
    <w:p w14:paraId="5C131C2E" w14:textId="227C015A" w:rsidR="00740B17" w:rsidRDefault="00740B17">
      <w:pPr>
        <w:spacing w:after="240"/>
        <w:jc w:val="both"/>
      </w:pPr>
      <w:r>
        <w:t xml:space="preserve">Además, disponer de </w:t>
      </w:r>
      <w:r w:rsidR="008A46D6">
        <w:t>mucho más contexto de la conversación,</w:t>
      </w:r>
      <w:r w:rsidR="002875BA">
        <w:t xml:space="preserve"> gracias a esa conversación previa del cliente con la IA,</w:t>
      </w:r>
      <w:r w:rsidR="008A46D6">
        <w:t xml:space="preserve"> nos permitirá hacer un enrutamiento </w:t>
      </w:r>
      <w:r w:rsidR="0072331E">
        <w:t xml:space="preserve">no sólo más eficaz -porque </w:t>
      </w:r>
      <w:r w:rsidR="00040E1C">
        <w:t>quien lo recibe conoce de antemano cómo puede ayudarle-</w:t>
      </w:r>
      <w:r w:rsidR="0072331E">
        <w:t>, sino más eficiente, siendo capaces de dirigir al cliente al destino adecuado a la primera.</w:t>
      </w:r>
    </w:p>
    <w:p w14:paraId="3F373375" w14:textId="77777777" w:rsidR="0099152D" w:rsidRDefault="0099152D">
      <w:pPr>
        <w:pBdr>
          <w:bottom w:val="single" w:sz="1" w:space="1" w:color="D3D1C7"/>
        </w:pBdr>
        <w:spacing w:after="240"/>
      </w:pPr>
    </w:p>
    <w:p w14:paraId="43BDDCC1" w14:textId="77777777" w:rsidR="0099152D" w:rsidRDefault="00450A3F">
      <w:pPr>
        <w:spacing w:after="200"/>
      </w:pPr>
      <w:r>
        <w:rPr>
          <w:rFonts w:ascii="Arial" w:hAnsi="Arial" w:cs="Arial"/>
          <w:color w:val="888888"/>
          <w:sz w:val="16"/>
          <w:szCs w:val="16"/>
        </w:rPr>
        <w:t>PREGUNTAS Y RESPUESTAS INTERNAS</w:t>
      </w:r>
    </w:p>
    <w:p w14:paraId="65CABC5E" w14:textId="77777777" w:rsidR="0099152D" w:rsidRDefault="00450A3F">
      <w:pPr>
        <w:spacing w:before="200" w:after="80"/>
      </w:pPr>
      <w:r>
        <w:rPr>
          <w:rFonts w:ascii="Arial" w:hAnsi="Arial" w:cs="Arial"/>
          <w:b/>
        </w:rPr>
        <w:t>¿En qué se diferencia esto de lo que ya teníamos en chat?</w:t>
      </w:r>
    </w:p>
    <w:p w14:paraId="2DA93D56" w14:textId="77777777" w:rsidR="0099152D" w:rsidRDefault="00450A3F">
      <w:pPr>
        <w:spacing w:after="60"/>
        <w:jc w:val="both"/>
      </w:pPr>
      <w:r>
        <w:rPr>
          <w:color w:val="555555"/>
          <w:sz w:val="21"/>
          <w:szCs w:val="21"/>
        </w:rPr>
        <w:t>El chat actual es determinista: sigue un árbol de decisiones predefinido y no tiene memoria de la conversación. Si el cliente hace una pregunta que no está en el árbol, el sistema le envía a un agente humano. El nuevo sistema es conversacional: entiende el lenguaje natural, recuerda lo que se ha dicho antes en la misma conversación, puede relacionar temas distintos y decide en tiempo real cuál es la mejor respuesta. La diferencia no es de grado: es de arquitectura.</w:t>
      </w:r>
    </w:p>
    <w:p w14:paraId="50A2E841" w14:textId="77777777" w:rsidR="0099152D" w:rsidRDefault="00450A3F">
      <w:pPr>
        <w:spacing w:before="200" w:after="80"/>
      </w:pPr>
      <w:r>
        <w:rPr>
          <w:rFonts w:ascii="Arial" w:hAnsi="Arial" w:cs="Arial"/>
          <w:b/>
        </w:rPr>
        <w:t>¿Por qué no había dado mejores resultados la IA en voz que hemos desplegado en 2026?</w:t>
      </w:r>
    </w:p>
    <w:p w14:paraId="14B4E18E" w14:textId="2340E80F" w:rsidR="0099152D" w:rsidRDefault="00450A3F">
      <w:pPr>
        <w:spacing w:after="60"/>
        <w:jc w:val="both"/>
      </w:pPr>
      <w:r>
        <w:rPr>
          <w:color w:val="555555"/>
          <w:sz w:val="21"/>
          <w:szCs w:val="21"/>
        </w:rPr>
        <w:t xml:space="preserve">Porque los primeros casos de uso se desplegaron sobre la plataforma de </w:t>
      </w:r>
      <w:proofErr w:type="spellStart"/>
      <w:r>
        <w:rPr>
          <w:color w:val="555555"/>
          <w:sz w:val="21"/>
          <w:szCs w:val="21"/>
        </w:rPr>
        <w:t>contact</w:t>
      </w:r>
      <w:proofErr w:type="spellEnd"/>
      <w:r>
        <w:rPr>
          <w:color w:val="555555"/>
          <w:sz w:val="21"/>
          <w:szCs w:val="21"/>
        </w:rPr>
        <w:t xml:space="preserve"> center antigua, con sus limitaciones de integración y sus procesos IVR heredados. El agente de IA puede ser brillante, pero si la infraestructura sobre la que opera no le permite acceder a los sistemas correctos, no puede resolver. La migración a Genesys Cloud elimina esa limitación: sobre la nueva plataforma, los agentes de voz con IA tienen acceso a las mismas capacidades que el agente humano.</w:t>
      </w:r>
    </w:p>
    <w:p w14:paraId="7A3DB330" w14:textId="77777777" w:rsidR="0099152D" w:rsidRDefault="00450A3F">
      <w:pPr>
        <w:spacing w:before="200" w:after="80"/>
      </w:pPr>
      <w:r>
        <w:rPr>
          <w:rFonts w:ascii="Arial" w:hAnsi="Arial" w:cs="Arial"/>
          <w:b/>
        </w:rPr>
        <w:t>¿Qué es el 'cerebro de Línea Directa' y por qué es tan importante?</w:t>
      </w:r>
    </w:p>
    <w:p w14:paraId="2C1037E4" w14:textId="77777777" w:rsidR="0099152D" w:rsidRDefault="00450A3F">
      <w:pPr>
        <w:spacing w:after="60"/>
        <w:jc w:val="both"/>
      </w:pPr>
      <w:r>
        <w:rPr>
          <w:color w:val="555555"/>
          <w:sz w:val="21"/>
          <w:szCs w:val="21"/>
        </w:rPr>
        <w:t xml:space="preserve">Un agente de IA solo puede responder tan bien como la información que tiene disponible. Hoy, gran parte del conocimiento operativo de la compañía vive en </w:t>
      </w:r>
      <w:proofErr w:type="spellStart"/>
      <w:r>
        <w:rPr>
          <w:color w:val="555555"/>
          <w:sz w:val="21"/>
          <w:szCs w:val="21"/>
        </w:rPr>
        <w:t>PDFs</w:t>
      </w:r>
      <w:proofErr w:type="spellEnd"/>
      <w:r>
        <w:rPr>
          <w:color w:val="555555"/>
          <w:sz w:val="21"/>
          <w:szCs w:val="21"/>
        </w:rPr>
        <w:t xml:space="preserve"> internos, en wikis no estructuradas, en correos entre equipos y en la memoria de los agentes con más experiencia. Eso no es una base de conocimiento: es un archivo. El 'cerebro' es el proyecto de estructurar ese conocimiento de forma que sea accesible y explotable por los modelos de IA: operativas, procedimientos, </w:t>
      </w:r>
      <w:proofErr w:type="spellStart"/>
      <w:r>
        <w:rPr>
          <w:color w:val="555555"/>
          <w:sz w:val="21"/>
          <w:szCs w:val="21"/>
        </w:rPr>
        <w:t>FAQs</w:t>
      </w:r>
      <w:proofErr w:type="spellEnd"/>
      <w:r>
        <w:rPr>
          <w:color w:val="555555"/>
          <w:sz w:val="21"/>
          <w:szCs w:val="21"/>
        </w:rPr>
        <w:t>, guías de producto, manual de marca, voz y tono. Sin eso, el agente de IA improvisa. Con eso, el agente de IA responde como el mejor experto de la compañía.</w:t>
      </w:r>
    </w:p>
    <w:p w14:paraId="0B35BEAB" w14:textId="77777777" w:rsidR="0099152D" w:rsidRDefault="00450A3F">
      <w:pPr>
        <w:spacing w:before="200" w:after="80"/>
      </w:pPr>
      <w:r>
        <w:rPr>
          <w:rFonts w:ascii="Arial" w:hAnsi="Arial" w:cs="Arial"/>
          <w:b/>
        </w:rPr>
        <w:t xml:space="preserve">¿Cómo se garantiza que el agente de IA habla con la voz de Línea Directa y no parece un </w:t>
      </w:r>
      <w:proofErr w:type="spellStart"/>
      <w:r>
        <w:rPr>
          <w:rFonts w:ascii="Arial" w:hAnsi="Arial" w:cs="Arial"/>
          <w:b/>
        </w:rPr>
        <w:t>bot</w:t>
      </w:r>
      <w:proofErr w:type="spellEnd"/>
      <w:r>
        <w:rPr>
          <w:rFonts w:ascii="Arial" w:hAnsi="Arial" w:cs="Arial"/>
          <w:b/>
        </w:rPr>
        <w:t xml:space="preserve"> genérico?</w:t>
      </w:r>
    </w:p>
    <w:p w14:paraId="27E06F1A" w14:textId="46F79AF6" w:rsidR="0099152D" w:rsidRDefault="00450A3F">
      <w:pPr>
        <w:spacing w:after="60"/>
        <w:jc w:val="both"/>
      </w:pPr>
      <w:r>
        <w:rPr>
          <w:color w:val="555555"/>
          <w:sz w:val="21"/>
          <w:szCs w:val="21"/>
        </w:rPr>
        <w:t xml:space="preserve">Con dos herramientas. La primera es el manual de marca y el documento de voz y tono, que forman parte de la base de conocimiento que alimenta al agente y que definen exactamente cómo debe expresarse: qué palabras usa, qué tono adopta en situaciones difíciles, cuándo puede ser más </w:t>
      </w:r>
      <w:r>
        <w:rPr>
          <w:color w:val="555555"/>
          <w:sz w:val="21"/>
          <w:szCs w:val="21"/>
        </w:rPr>
        <w:lastRenderedPageBreak/>
        <w:t xml:space="preserve">cercano y cuándo debe ser más formal. La segunda es el proceso de diseño conversacional: cada caso de uso se diseña como un </w:t>
      </w:r>
      <w:proofErr w:type="spellStart"/>
      <w:r>
        <w:rPr>
          <w:color w:val="555555"/>
          <w:sz w:val="21"/>
          <w:szCs w:val="21"/>
        </w:rPr>
        <w:t>guión</w:t>
      </w:r>
      <w:proofErr w:type="spellEnd"/>
      <w:r>
        <w:rPr>
          <w:color w:val="555555"/>
          <w:sz w:val="21"/>
          <w:szCs w:val="21"/>
        </w:rPr>
        <w:t xml:space="preserve"> de conversación, se prueba, se refina y se audita antes de llegar al cliente.</w:t>
      </w:r>
    </w:p>
    <w:p w14:paraId="68130F23" w14:textId="77777777" w:rsidR="0099152D" w:rsidRDefault="00450A3F">
      <w:pPr>
        <w:spacing w:before="200" w:after="80"/>
      </w:pPr>
      <w:r>
        <w:rPr>
          <w:rFonts w:ascii="Arial" w:hAnsi="Arial" w:cs="Arial"/>
          <w:b/>
        </w:rPr>
        <w:t>¿Cómo sabremos si está funcionando?</w:t>
      </w:r>
    </w:p>
    <w:p w14:paraId="3E3891A0" w14:textId="1FD8DCE2" w:rsidR="0099152D" w:rsidRDefault="00450A3F">
      <w:pPr>
        <w:spacing w:after="60"/>
        <w:jc w:val="both"/>
      </w:pPr>
      <w:r>
        <w:rPr>
          <w:color w:val="555555"/>
          <w:sz w:val="21"/>
          <w:szCs w:val="21"/>
        </w:rPr>
        <w:t xml:space="preserve">Con métricas distintas según el canal. En voz: tasa de abandono, tasa de resolución por el agente IA, tasa de </w:t>
      </w:r>
      <w:proofErr w:type="spellStart"/>
      <w:r>
        <w:rPr>
          <w:color w:val="555555"/>
          <w:sz w:val="21"/>
          <w:szCs w:val="21"/>
        </w:rPr>
        <w:t>rellamadas</w:t>
      </w:r>
      <w:proofErr w:type="spellEnd"/>
      <w:r>
        <w:rPr>
          <w:color w:val="555555"/>
          <w:sz w:val="21"/>
          <w:szCs w:val="21"/>
        </w:rPr>
        <w:t xml:space="preserve"> en la siguiente hora (&lt;13%) y NSA del servicio (objetivo 75%). En chat: tasa de automatización, tiempo medio de resolución, NSS de las conversaciones gestionadas por IA y tasa de escalado a agente humano. Ambos canales tienen monitorización continua de la calidad de las respuestas del agente de IA, no solo de las métricas operativas.</w:t>
      </w:r>
    </w:p>
    <w:p w14:paraId="1B376DC9" w14:textId="77777777" w:rsidR="0099152D" w:rsidRDefault="0099152D">
      <w:pPr>
        <w:pBdr>
          <w:bottom w:val="single" w:sz="1" w:space="1" w:color="D3D1C7"/>
        </w:pBdr>
        <w:spacing w:before="200" w:after="240"/>
      </w:pPr>
    </w:p>
    <w:p w14:paraId="387B7683" w14:textId="77777777" w:rsidR="0099152D" w:rsidRDefault="00450A3F">
      <w:pPr>
        <w:spacing w:after="120"/>
      </w:pPr>
      <w:r>
        <w:rPr>
          <w:rFonts w:ascii="Arial" w:hAnsi="Arial" w:cs="Arial"/>
          <w:color w:val="888888"/>
          <w:sz w:val="16"/>
          <w:szCs w:val="16"/>
        </w:rPr>
        <w:t>OBJETIVOS CUANTITATIVOS DEL PROYECTO</w:t>
      </w:r>
    </w:p>
    <w:p w14:paraId="737E45CB" w14:textId="77777777" w:rsidR="0099152D" w:rsidRDefault="00450A3F">
      <w:pPr>
        <w:spacing w:after="160"/>
      </w:pPr>
      <w:r>
        <w:rPr>
          <w:rFonts w:ascii="Arial" w:hAnsi="Arial" w:cs="Arial"/>
          <w:b/>
          <w:sz w:val="30"/>
          <w:szCs w:val="30"/>
        </w:rPr>
        <w:t>Dos canales, dos conjuntos de métricas, una misma ambición: resolver más, esperar menos</w:t>
      </w:r>
    </w:p>
    <w:p w14:paraId="4E488484" w14:textId="77777777" w:rsidR="0099152D" w:rsidRDefault="00450A3F">
      <w:pPr>
        <w:spacing w:after="280"/>
        <w:jc w:val="both"/>
      </w:pPr>
      <w:r>
        <w:rPr>
          <w:i/>
          <w:color w:val="555555"/>
        </w:rPr>
        <w:t>Los objetivos se miden por canal. En voz, la métrica principal es el abandono y la resolución desasistida. En chat, la eficiencia de la automatización sin perder satisfacción.</w:t>
      </w:r>
    </w:p>
    <w:p w14:paraId="4F109AE3" w14:textId="77777777" w:rsidR="0099152D" w:rsidRDefault="00450A3F">
      <w:pPr>
        <w:spacing w:after="100"/>
      </w:pPr>
      <w:r>
        <w:rPr>
          <w:rFonts w:ascii="Arial" w:hAnsi="Arial" w:cs="Arial"/>
          <w:b/>
          <w:color w:val="BE2A2A"/>
          <w:sz w:val="16"/>
          <w:szCs w:val="16"/>
        </w:rPr>
        <w:t>IA EN VOZ — OBJETIVOS</w:t>
      </w:r>
    </w:p>
    <w:tbl>
      <w:tblPr>
        <w:tblW w:w="9026" w:type="dxa"/>
        <w:tblCellMar>
          <w:left w:w="10" w:type="dxa"/>
          <w:right w:w="10" w:type="dxa"/>
        </w:tblCellMar>
        <w:tblLook w:val="04A0" w:firstRow="1" w:lastRow="0" w:firstColumn="1" w:lastColumn="0" w:noHBand="0" w:noVBand="1"/>
      </w:tblPr>
      <w:tblGrid>
        <w:gridCol w:w="4400"/>
        <w:gridCol w:w="2313"/>
        <w:gridCol w:w="2313"/>
      </w:tblGrid>
      <w:tr w:rsidR="0099152D" w14:paraId="42BC7B85" w14:textId="77777777">
        <w:trPr>
          <w:tblHeader/>
        </w:trPr>
        <w:tc>
          <w:tcPr>
            <w:tcW w:w="4400" w:type="dxa"/>
            <w:shd w:val="clear" w:color="auto" w:fill="BE2A2A"/>
            <w:tcMar>
              <w:top w:w="80" w:type="dxa"/>
              <w:left w:w="140" w:type="dxa"/>
              <w:bottom w:w="80" w:type="dxa"/>
              <w:right w:w="100" w:type="dxa"/>
            </w:tcMar>
          </w:tcPr>
          <w:p w14:paraId="4B12D5A0" w14:textId="77777777" w:rsidR="0099152D" w:rsidRDefault="00450A3F">
            <w:pPr>
              <w:spacing w:before="80" w:after="80"/>
            </w:pPr>
            <w:r>
              <w:rPr>
                <w:rFonts w:ascii="Arial" w:hAnsi="Arial" w:cs="Arial"/>
                <w:b/>
                <w:color w:val="FFFFFF"/>
                <w:sz w:val="18"/>
                <w:szCs w:val="18"/>
              </w:rPr>
              <w:t>Indicador</w:t>
            </w:r>
          </w:p>
        </w:tc>
        <w:tc>
          <w:tcPr>
            <w:tcW w:w="2313" w:type="dxa"/>
            <w:shd w:val="clear" w:color="auto" w:fill="BE2A2A"/>
            <w:tcMar>
              <w:top w:w="80" w:type="dxa"/>
              <w:left w:w="140" w:type="dxa"/>
              <w:bottom w:w="80" w:type="dxa"/>
              <w:right w:w="100" w:type="dxa"/>
            </w:tcMar>
          </w:tcPr>
          <w:p w14:paraId="2C9A28D4" w14:textId="77777777" w:rsidR="0099152D" w:rsidRDefault="00450A3F">
            <w:pPr>
              <w:spacing w:before="80" w:after="80"/>
              <w:jc w:val="center"/>
            </w:pPr>
            <w:r>
              <w:rPr>
                <w:rFonts w:ascii="Arial" w:hAnsi="Arial" w:cs="Arial"/>
                <w:b/>
                <w:color w:val="FFFFFF"/>
                <w:sz w:val="18"/>
                <w:szCs w:val="18"/>
              </w:rPr>
              <w:t>Objetivo</w:t>
            </w:r>
          </w:p>
        </w:tc>
        <w:tc>
          <w:tcPr>
            <w:tcW w:w="2313" w:type="dxa"/>
            <w:shd w:val="clear" w:color="auto" w:fill="BE2A2A"/>
            <w:tcMar>
              <w:top w:w="80" w:type="dxa"/>
              <w:left w:w="140" w:type="dxa"/>
              <w:bottom w:w="80" w:type="dxa"/>
              <w:right w:w="100" w:type="dxa"/>
            </w:tcMar>
          </w:tcPr>
          <w:p w14:paraId="311D0E5B" w14:textId="77777777" w:rsidR="0099152D" w:rsidRDefault="00450A3F">
            <w:pPr>
              <w:spacing w:before="80" w:after="80"/>
              <w:jc w:val="center"/>
            </w:pPr>
            <w:r>
              <w:rPr>
                <w:rFonts w:ascii="Arial" w:hAnsi="Arial" w:cs="Arial"/>
                <w:b/>
                <w:color w:val="FFFFFF"/>
                <w:sz w:val="18"/>
                <w:szCs w:val="18"/>
              </w:rPr>
              <w:t>Descripción</w:t>
            </w:r>
          </w:p>
        </w:tc>
      </w:tr>
      <w:tr w:rsidR="0099152D" w14:paraId="471C4B58" w14:textId="77777777">
        <w:tc>
          <w:tcPr>
            <w:tcW w:w="44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53DB7B93" w14:textId="77777777" w:rsidR="0099152D" w:rsidRDefault="00450A3F">
            <w:pPr>
              <w:spacing w:before="80" w:after="80"/>
            </w:pPr>
            <w:r>
              <w:rPr>
                <w:rFonts w:ascii="Arial" w:hAnsi="Arial" w:cs="Arial"/>
                <w:b/>
                <w:sz w:val="18"/>
                <w:szCs w:val="18"/>
              </w:rPr>
              <w:t>Llamadas automatizadas (agente IA)</w:t>
            </w:r>
          </w:p>
        </w:tc>
        <w:tc>
          <w:tcPr>
            <w:tcW w:w="2313"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2620A393" w14:textId="77777777" w:rsidR="0099152D" w:rsidRDefault="00450A3F">
            <w:pPr>
              <w:spacing w:before="80" w:after="80"/>
              <w:jc w:val="center"/>
            </w:pPr>
            <w:r>
              <w:rPr>
                <w:rFonts w:ascii="Arial" w:hAnsi="Arial" w:cs="Arial"/>
                <w:sz w:val="18"/>
                <w:szCs w:val="18"/>
              </w:rPr>
              <w:t>1 MM / año</w:t>
            </w:r>
          </w:p>
        </w:tc>
        <w:tc>
          <w:tcPr>
            <w:tcW w:w="2313"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4D300AD4" w14:textId="77777777" w:rsidR="0099152D" w:rsidRDefault="00450A3F">
            <w:pPr>
              <w:spacing w:before="80" w:after="80"/>
              <w:jc w:val="center"/>
            </w:pPr>
            <w:r>
              <w:rPr>
                <w:rFonts w:ascii="Arial" w:hAnsi="Arial" w:cs="Arial"/>
                <w:sz w:val="18"/>
                <w:szCs w:val="18"/>
              </w:rPr>
              <w:t>Resolución completa sin intervención humana</w:t>
            </w:r>
          </w:p>
        </w:tc>
      </w:tr>
      <w:tr w:rsidR="0099152D" w14:paraId="3D532627" w14:textId="77777777">
        <w:tc>
          <w:tcPr>
            <w:tcW w:w="44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23835120" w14:textId="77777777" w:rsidR="0099152D" w:rsidRDefault="00450A3F">
            <w:pPr>
              <w:spacing w:before="80" w:after="80"/>
            </w:pPr>
            <w:r>
              <w:rPr>
                <w:rFonts w:ascii="Arial" w:hAnsi="Arial" w:cs="Arial"/>
                <w:b/>
                <w:sz w:val="18"/>
                <w:szCs w:val="18"/>
              </w:rPr>
              <w:t>Tasa de abandono telefónico</w:t>
            </w:r>
          </w:p>
        </w:tc>
        <w:tc>
          <w:tcPr>
            <w:tcW w:w="2313"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7FCC1083" w14:textId="77777777" w:rsidR="0099152D" w:rsidRDefault="00450A3F">
            <w:pPr>
              <w:spacing w:before="80" w:after="80"/>
              <w:jc w:val="center"/>
            </w:pPr>
            <w:r w:rsidRPr="002D230F">
              <w:rPr>
                <w:rFonts w:ascii="Arial" w:hAnsi="Arial" w:cs="Arial"/>
                <w:sz w:val="18"/>
                <w:szCs w:val="18"/>
                <w:highlight w:val="yellow"/>
              </w:rPr>
              <w:t>&lt; 5%</w:t>
            </w:r>
          </w:p>
        </w:tc>
        <w:tc>
          <w:tcPr>
            <w:tcW w:w="2313"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52A27444" w14:textId="77777777" w:rsidR="0099152D" w:rsidRDefault="00450A3F">
            <w:pPr>
              <w:spacing w:before="80" w:after="80"/>
              <w:jc w:val="center"/>
            </w:pPr>
            <w:r>
              <w:rPr>
                <w:rFonts w:ascii="Arial" w:hAnsi="Arial" w:cs="Arial"/>
                <w:sz w:val="18"/>
                <w:szCs w:val="18"/>
              </w:rPr>
              <w:t>Desde el ~10% actual, gracias a la capacidad del agente IA en picos de demanda</w:t>
            </w:r>
          </w:p>
        </w:tc>
      </w:tr>
      <w:tr w:rsidR="0099152D" w14:paraId="617901D9" w14:textId="77777777">
        <w:tc>
          <w:tcPr>
            <w:tcW w:w="44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39EB6AA7" w14:textId="77777777" w:rsidR="0099152D" w:rsidRDefault="00450A3F">
            <w:pPr>
              <w:spacing w:before="80" w:after="80"/>
            </w:pPr>
            <w:proofErr w:type="spellStart"/>
            <w:r>
              <w:rPr>
                <w:rFonts w:ascii="Arial" w:hAnsi="Arial" w:cs="Arial"/>
                <w:b/>
                <w:sz w:val="18"/>
                <w:szCs w:val="18"/>
              </w:rPr>
              <w:t>Rellamadas</w:t>
            </w:r>
            <w:proofErr w:type="spellEnd"/>
            <w:r>
              <w:rPr>
                <w:rFonts w:ascii="Arial" w:hAnsi="Arial" w:cs="Arial"/>
                <w:b/>
                <w:sz w:val="18"/>
                <w:szCs w:val="18"/>
              </w:rPr>
              <w:t xml:space="preserve"> en la hora siguiente</w:t>
            </w:r>
          </w:p>
        </w:tc>
        <w:tc>
          <w:tcPr>
            <w:tcW w:w="2313"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17676342" w14:textId="77777777" w:rsidR="0099152D" w:rsidRDefault="00450A3F">
            <w:pPr>
              <w:spacing w:before="80" w:after="80"/>
              <w:jc w:val="center"/>
            </w:pPr>
            <w:r>
              <w:rPr>
                <w:rFonts w:ascii="Arial" w:hAnsi="Arial" w:cs="Arial"/>
                <w:sz w:val="18"/>
                <w:szCs w:val="18"/>
              </w:rPr>
              <w:t>&lt; 13%</w:t>
            </w:r>
          </w:p>
        </w:tc>
        <w:tc>
          <w:tcPr>
            <w:tcW w:w="2313"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7457A59A" w14:textId="77777777" w:rsidR="0099152D" w:rsidRDefault="00450A3F">
            <w:pPr>
              <w:spacing w:before="80" w:after="80"/>
              <w:jc w:val="center"/>
            </w:pPr>
            <w:r>
              <w:rPr>
                <w:rFonts w:ascii="Arial" w:hAnsi="Arial" w:cs="Arial"/>
                <w:sz w:val="18"/>
                <w:szCs w:val="18"/>
              </w:rPr>
              <w:t>Alineado con el valor global de la compañía</w:t>
            </w:r>
          </w:p>
        </w:tc>
      </w:tr>
      <w:tr w:rsidR="0099152D" w14:paraId="0CA0D86F" w14:textId="77777777">
        <w:tc>
          <w:tcPr>
            <w:tcW w:w="44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7A48DA3D" w14:textId="77777777" w:rsidR="0099152D" w:rsidRDefault="00450A3F">
            <w:pPr>
              <w:spacing w:before="80" w:after="80"/>
            </w:pPr>
            <w:r>
              <w:rPr>
                <w:rFonts w:ascii="Arial" w:hAnsi="Arial" w:cs="Arial"/>
                <w:b/>
                <w:sz w:val="18"/>
                <w:szCs w:val="18"/>
              </w:rPr>
              <w:t>NSA del servicio de voz</w:t>
            </w:r>
          </w:p>
        </w:tc>
        <w:tc>
          <w:tcPr>
            <w:tcW w:w="2313"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57E95264" w14:textId="77777777" w:rsidR="0099152D" w:rsidRDefault="00450A3F">
            <w:pPr>
              <w:spacing w:before="80" w:after="80"/>
              <w:jc w:val="center"/>
            </w:pPr>
            <w:r>
              <w:rPr>
                <w:rFonts w:ascii="Arial" w:hAnsi="Arial" w:cs="Arial"/>
                <w:sz w:val="18"/>
                <w:szCs w:val="18"/>
              </w:rPr>
              <w:t>75%</w:t>
            </w:r>
          </w:p>
        </w:tc>
        <w:tc>
          <w:tcPr>
            <w:tcW w:w="2313"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2D0AA676" w14:textId="77777777" w:rsidR="0099152D" w:rsidRDefault="00450A3F">
            <w:pPr>
              <w:spacing w:before="80" w:after="80"/>
              <w:jc w:val="center"/>
            </w:pPr>
            <w:r>
              <w:rPr>
                <w:rFonts w:ascii="Arial" w:hAnsi="Arial" w:cs="Arial"/>
                <w:sz w:val="18"/>
                <w:szCs w:val="18"/>
              </w:rPr>
              <w:t>Monitorización continua de calidad del agente IA y del servicio de voz en su totalidad</w:t>
            </w:r>
          </w:p>
        </w:tc>
      </w:tr>
    </w:tbl>
    <w:p w14:paraId="119BCC74" w14:textId="77777777" w:rsidR="0099152D" w:rsidRDefault="0099152D">
      <w:pPr>
        <w:spacing w:before="180"/>
      </w:pPr>
    </w:p>
    <w:p w14:paraId="20FF4579" w14:textId="77777777" w:rsidR="0099152D" w:rsidRDefault="00450A3F">
      <w:pPr>
        <w:spacing w:after="100"/>
      </w:pPr>
      <w:r>
        <w:rPr>
          <w:rFonts w:ascii="Arial" w:hAnsi="Arial" w:cs="Arial"/>
          <w:b/>
          <w:sz w:val="16"/>
          <w:szCs w:val="16"/>
        </w:rPr>
        <w:t>CHAT DIGITAL — OBJETIVOS</w:t>
      </w:r>
    </w:p>
    <w:tbl>
      <w:tblPr>
        <w:tblW w:w="5626" w:type="dxa"/>
        <w:tblCellMar>
          <w:left w:w="10" w:type="dxa"/>
          <w:right w:w="10" w:type="dxa"/>
        </w:tblCellMar>
        <w:tblLook w:val="04A0" w:firstRow="1" w:lastRow="0" w:firstColumn="1" w:lastColumn="0" w:noHBand="0" w:noVBand="1"/>
      </w:tblPr>
      <w:tblGrid>
        <w:gridCol w:w="3800"/>
        <w:gridCol w:w="1826"/>
      </w:tblGrid>
      <w:tr w:rsidR="00B20CDC" w14:paraId="77D90243" w14:textId="77777777" w:rsidTr="00B20CDC">
        <w:trPr>
          <w:tblHeader/>
        </w:trPr>
        <w:tc>
          <w:tcPr>
            <w:tcW w:w="3800" w:type="dxa"/>
            <w:shd w:val="clear" w:color="auto" w:fill="2C2C2A"/>
            <w:tcMar>
              <w:top w:w="80" w:type="dxa"/>
              <w:left w:w="140" w:type="dxa"/>
              <w:bottom w:w="80" w:type="dxa"/>
              <w:right w:w="100" w:type="dxa"/>
            </w:tcMar>
          </w:tcPr>
          <w:p w14:paraId="7C1909CC" w14:textId="77777777" w:rsidR="00B20CDC" w:rsidRDefault="00B20CDC">
            <w:pPr>
              <w:spacing w:before="80" w:after="80"/>
            </w:pPr>
            <w:r>
              <w:rPr>
                <w:rFonts w:ascii="Arial" w:hAnsi="Arial" w:cs="Arial"/>
                <w:b/>
                <w:color w:val="FFFFFF"/>
                <w:sz w:val="18"/>
                <w:szCs w:val="18"/>
              </w:rPr>
              <w:t>Indicador</w:t>
            </w:r>
          </w:p>
        </w:tc>
        <w:tc>
          <w:tcPr>
            <w:tcW w:w="1826" w:type="dxa"/>
            <w:shd w:val="clear" w:color="auto" w:fill="2C2C2A"/>
            <w:tcMar>
              <w:top w:w="80" w:type="dxa"/>
              <w:left w:w="140" w:type="dxa"/>
              <w:bottom w:w="80" w:type="dxa"/>
              <w:right w:w="100" w:type="dxa"/>
            </w:tcMar>
          </w:tcPr>
          <w:p w14:paraId="6CE71336" w14:textId="04C582C5" w:rsidR="00B20CDC" w:rsidRDefault="00B20CDC">
            <w:pPr>
              <w:spacing w:before="80" w:after="80"/>
              <w:jc w:val="center"/>
            </w:pPr>
            <w:r>
              <w:rPr>
                <w:rFonts w:ascii="Arial" w:hAnsi="Arial" w:cs="Arial"/>
                <w:b/>
                <w:color w:val="FFFFFF"/>
                <w:sz w:val="18"/>
                <w:szCs w:val="18"/>
              </w:rPr>
              <w:t>2026</w:t>
            </w:r>
          </w:p>
        </w:tc>
      </w:tr>
      <w:tr w:rsidR="00B20CDC" w14:paraId="3D6B42B0" w14:textId="77777777" w:rsidTr="00B20CDC">
        <w:tc>
          <w:tcPr>
            <w:tcW w:w="38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5B38CA16" w14:textId="77777777" w:rsidR="00B20CDC" w:rsidRDefault="00B20CDC">
            <w:pPr>
              <w:spacing w:before="80" w:after="80"/>
            </w:pPr>
            <w:r>
              <w:rPr>
                <w:rFonts w:ascii="Arial" w:hAnsi="Arial" w:cs="Arial"/>
                <w:b/>
                <w:sz w:val="18"/>
                <w:szCs w:val="18"/>
              </w:rPr>
              <w:t>Conversaciones gestionadas</w:t>
            </w:r>
          </w:p>
        </w:tc>
        <w:tc>
          <w:tcPr>
            <w:tcW w:w="1826"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5CBC4335" w14:textId="73C17990" w:rsidR="00B20CDC" w:rsidRDefault="00B20CDC">
            <w:pPr>
              <w:spacing w:before="80" w:after="80"/>
              <w:jc w:val="center"/>
            </w:pPr>
            <w:r w:rsidRPr="00B20CDC">
              <w:rPr>
                <w:rFonts w:ascii="Arial" w:hAnsi="Arial" w:cs="Arial"/>
                <w:sz w:val="18"/>
                <w:szCs w:val="18"/>
              </w:rPr>
              <w:t>2.520.000 (+31,10% YoY)</w:t>
            </w:r>
          </w:p>
        </w:tc>
      </w:tr>
      <w:tr w:rsidR="00B20CDC" w14:paraId="30AAB566" w14:textId="77777777" w:rsidTr="00B20CDC">
        <w:tc>
          <w:tcPr>
            <w:tcW w:w="38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56EA2C22" w14:textId="77777777" w:rsidR="00B20CDC" w:rsidRDefault="00B20CDC">
            <w:pPr>
              <w:spacing w:before="80" w:after="80"/>
            </w:pPr>
            <w:r>
              <w:rPr>
                <w:rFonts w:ascii="Arial" w:hAnsi="Arial" w:cs="Arial"/>
                <w:b/>
                <w:sz w:val="18"/>
                <w:szCs w:val="18"/>
              </w:rPr>
              <w:t>Tasa de automatización (%IA vs. total)</w:t>
            </w:r>
          </w:p>
        </w:tc>
        <w:tc>
          <w:tcPr>
            <w:tcW w:w="1826"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31D0C1E1" w14:textId="6E974F29" w:rsidR="00B20CDC" w:rsidRDefault="00B20CDC">
            <w:pPr>
              <w:spacing w:before="80" w:after="80"/>
              <w:jc w:val="center"/>
            </w:pPr>
            <w:r>
              <w:rPr>
                <w:rFonts w:ascii="Arial" w:hAnsi="Arial" w:cs="Arial"/>
                <w:sz w:val="18"/>
                <w:szCs w:val="18"/>
              </w:rPr>
              <w:t>71,2% (+6pp YoY)</w:t>
            </w:r>
          </w:p>
        </w:tc>
      </w:tr>
    </w:tbl>
    <w:p w14:paraId="21B4CE58" w14:textId="77777777" w:rsidR="0099152D" w:rsidRDefault="0099152D">
      <w:pPr>
        <w:spacing w:before="180"/>
      </w:pPr>
    </w:p>
    <w:p w14:paraId="305CBED7" w14:textId="77777777" w:rsidR="0099152D" w:rsidRDefault="00450A3F">
      <w:pPr>
        <w:spacing w:before="100" w:after="180"/>
        <w:jc w:val="both"/>
      </w:pPr>
      <w:r>
        <w:rPr>
          <w:i/>
          <w:color w:val="888888"/>
          <w:sz w:val="18"/>
          <w:szCs w:val="18"/>
        </w:rPr>
        <w:t>Nota: los valores de las métricas de chat digital deben completarse con los datos de la imagen 1 adjunta. La tabla refleja la estructura 2024 / 2025 YoY / 2026 YoY que aparece en el documento de referencia.</w:t>
      </w:r>
    </w:p>
    <w:p w14:paraId="711212C6" w14:textId="77777777" w:rsidR="0099152D" w:rsidRDefault="0099152D">
      <w:pPr>
        <w:pBdr>
          <w:bottom w:val="single" w:sz="1" w:space="1" w:color="D3D1C7"/>
        </w:pBdr>
        <w:spacing w:before="200" w:after="240"/>
      </w:pPr>
    </w:p>
    <w:p w14:paraId="5D671982" w14:textId="77777777" w:rsidR="0099152D" w:rsidRDefault="00450A3F">
      <w:pPr>
        <w:spacing w:after="120"/>
      </w:pPr>
      <w:r>
        <w:rPr>
          <w:rFonts w:ascii="Arial" w:hAnsi="Arial" w:cs="Arial"/>
          <w:color w:val="888888"/>
          <w:sz w:val="16"/>
          <w:szCs w:val="16"/>
        </w:rPr>
        <w:lastRenderedPageBreak/>
        <w:t>IMPLICACIONES ORGANIZATIVAS</w:t>
      </w:r>
    </w:p>
    <w:p w14:paraId="574A7980" w14:textId="77777777" w:rsidR="0099152D" w:rsidRDefault="00450A3F">
      <w:pPr>
        <w:spacing w:after="160"/>
      </w:pPr>
      <w:r>
        <w:rPr>
          <w:rFonts w:ascii="Arial" w:hAnsi="Arial" w:cs="Arial"/>
          <w:b/>
          <w:sz w:val="30"/>
          <w:szCs w:val="30"/>
        </w:rPr>
        <w:t>Un proyecto de plataforma, conocimiento y experiencia que transforma cómo la compañía interactúa con sus clientes a gran escala</w:t>
      </w:r>
    </w:p>
    <w:p w14:paraId="5F240534" w14:textId="35AABC38" w:rsidR="0099152D" w:rsidRDefault="00450A3F">
      <w:pPr>
        <w:spacing w:after="280"/>
        <w:jc w:val="both"/>
      </w:pPr>
      <w:r>
        <w:rPr>
          <w:i/>
          <w:color w:val="555555"/>
        </w:rPr>
        <w:t>Desplegar IA conversacional no es instalar un software. Es rediseñar cómo la compañía gestiona el conocimiento, cómo diseña</w:t>
      </w:r>
      <w:r w:rsidR="00B20CDC">
        <w:rPr>
          <w:i/>
          <w:color w:val="555555"/>
        </w:rPr>
        <w:t>mos</w:t>
      </w:r>
      <w:r>
        <w:rPr>
          <w:i/>
          <w:color w:val="555555"/>
        </w:rPr>
        <w:t xml:space="preserve"> experiencias y cómo los equipos de negocio entienden el impacto en sus operaciones.</w:t>
      </w:r>
    </w:p>
    <w:tbl>
      <w:tblPr>
        <w:tblW w:w="9026" w:type="dxa"/>
        <w:tblCellMar>
          <w:left w:w="10" w:type="dxa"/>
          <w:right w:w="10" w:type="dxa"/>
        </w:tblCellMar>
        <w:tblLook w:val="04A0" w:firstRow="1" w:lastRow="0" w:firstColumn="1" w:lastColumn="0" w:noHBand="0" w:noVBand="1"/>
      </w:tblPr>
      <w:tblGrid>
        <w:gridCol w:w="9026"/>
      </w:tblGrid>
      <w:tr w:rsidR="0099152D" w14:paraId="0CCF0B98" w14:textId="77777777">
        <w:tc>
          <w:tcPr>
            <w:tcW w:w="9026" w:type="dxa"/>
            <w:tcBorders>
              <w:top w:val="single" w:sz="4" w:space="0" w:color="E0DED8"/>
              <w:left w:val="single" w:sz="18" w:space="0" w:color="BE2A2A"/>
              <w:bottom w:val="single" w:sz="4" w:space="0" w:color="E0DED8"/>
              <w:right w:val="single" w:sz="4" w:space="0" w:color="E0DED8"/>
            </w:tcBorders>
            <w:shd w:val="clear" w:color="auto" w:fill="FFFFFF"/>
            <w:tcMar>
              <w:top w:w="100" w:type="dxa"/>
              <w:left w:w="200" w:type="dxa"/>
              <w:bottom w:w="100" w:type="dxa"/>
              <w:right w:w="140" w:type="dxa"/>
            </w:tcMar>
          </w:tcPr>
          <w:p w14:paraId="03E896B4" w14:textId="77777777" w:rsidR="0099152D" w:rsidRDefault="00450A3F">
            <w:pPr>
              <w:spacing w:before="100" w:after="60"/>
            </w:pPr>
            <w:r>
              <w:rPr>
                <w:rFonts w:ascii="Arial" w:hAnsi="Arial" w:cs="Arial"/>
                <w:b/>
                <w:sz w:val="20"/>
                <w:szCs w:val="20"/>
              </w:rPr>
              <w:t>Dimensión tecnológica — Plataformas conversacionales</w:t>
            </w:r>
          </w:p>
          <w:p w14:paraId="0CEA1FB5" w14:textId="3F2EFDF7" w:rsidR="0099152D" w:rsidRDefault="00450A3F">
            <w:pPr>
              <w:spacing w:after="100"/>
              <w:jc w:val="both"/>
            </w:pPr>
            <w:r>
              <w:rPr>
                <w:color w:val="555555"/>
                <w:sz w:val="20"/>
                <w:szCs w:val="20"/>
              </w:rPr>
              <w:t xml:space="preserve">El cambio de plataforma es el requisito previo de todo lo demás. La nueva arquitectura de chat abandona el motor determinista por un sistema híbrido que combina reglas —para los casos donde la precisión no </w:t>
            </w:r>
            <w:r w:rsidR="00584D1A">
              <w:rPr>
                <w:color w:val="555555"/>
                <w:sz w:val="20"/>
                <w:szCs w:val="20"/>
              </w:rPr>
              <w:t xml:space="preserve">es </w:t>
            </w:r>
            <w:r>
              <w:rPr>
                <w:color w:val="555555"/>
                <w:sz w:val="20"/>
                <w:szCs w:val="20"/>
              </w:rPr>
              <w:t xml:space="preserve">negociable— con capacidades generativas para el resto. En voz, la migración a Genesys Cloud desbloquea las </w:t>
            </w:r>
            <w:proofErr w:type="spellStart"/>
            <w:r>
              <w:rPr>
                <w:color w:val="555555"/>
                <w:sz w:val="20"/>
                <w:szCs w:val="20"/>
              </w:rPr>
              <w:t>APIs</w:t>
            </w:r>
            <w:proofErr w:type="spellEnd"/>
            <w:r>
              <w:rPr>
                <w:color w:val="555555"/>
                <w:sz w:val="20"/>
                <w:szCs w:val="20"/>
              </w:rPr>
              <w:t xml:space="preserve"> necesarias para integrar modelos de lenguaje y motores de voz (STT/TTS) de última generación. Tecnología lidera la implementación de ambas plataformas y las integraciones con los sistemas </w:t>
            </w:r>
            <w:proofErr w:type="spellStart"/>
            <w:r>
              <w:rPr>
                <w:color w:val="555555"/>
                <w:sz w:val="20"/>
                <w:szCs w:val="20"/>
              </w:rPr>
              <w:t>core</w:t>
            </w:r>
            <w:proofErr w:type="spellEnd"/>
            <w:r>
              <w:rPr>
                <w:color w:val="555555"/>
                <w:sz w:val="20"/>
                <w:szCs w:val="20"/>
              </w:rPr>
              <w:t xml:space="preserve"> de la compañía.</w:t>
            </w:r>
          </w:p>
        </w:tc>
      </w:tr>
    </w:tbl>
    <w:p w14:paraId="7DFC7977" w14:textId="77777777" w:rsidR="0099152D" w:rsidRDefault="0099152D">
      <w:pPr>
        <w:spacing w:before="80"/>
      </w:pPr>
    </w:p>
    <w:tbl>
      <w:tblPr>
        <w:tblW w:w="9026" w:type="dxa"/>
        <w:tblCellMar>
          <w:left w:w="10" w:type="dxa"/>
          <w:right w:w="10" w:type="dxa"/>
        </w:tblCellMar>
        <w:tblLook w:val="04A0" w:firstRow="1" w:lastRow="0" w:firstColumn="1" w:lastColumn="0" w:noHBand="0" w:noVBand="1"/>
      </w:tblPr>
      <w:tblGrid>
        <w:gridCol w:w="9026"/>
      </w:tblGrid>
      <w:tr w:rsidR="0099152D" w14:paraId="27029B57" w14:textId="77777777">
        <w:tc>
          <w:tcPr>
            <w:tcW w:w="9026" w:type="dxa"/>
            <w:tcBorders>
              <w:top w:val="single" w:sz="4" w:space="0" w:color="E0DED8"/>
              <w:left w:val="single" w:sz="18" w:space="0" w:color="BE2A2A"/>
              <w:bottom w:val="single" w:sz="4" w:space="0" w:color="E0DED8"/>
              <w:right w:val="single" w:sz="4" w:space="0" w:color="E0DED8"/>
            </w:tcBorders>
            <w:shd w:val="clear" w:color="auto" w:fill="FFFFFF"/>
            <w:tcMar>
              <w:top w:w="100" w:type="dxa"/>
              <w:left w:w="200" w:type="dxa"/>
              <w:bottom w:w="100" w:type="dxa"/>
              <w:right w:w="140" w:type="dxa"/>
            </w:tcMar>
          </w:tcPr>
          <w:p w14:paraId="59CCD3B9" w14:textId="77777777" w:rsidR="0099152D" w:rsidRDefault="00450A3F">
            <w:pPr>
              <w:spacing w:before="100" w:after="60"/>
            </w:pPr>
            <w:r>
              <w:rPr>
                <w:rFonts w:ascii="Arial" w:hAnsi="Arial" w:cs="Arial"/>
                <w:b/>
                <w:sz w:val="20"/>
                <w:szCs w:val="20"/>
              </w:rPr>
              <w:t>Dimensión de conocimiento — El cerebro de Línea Directa</w:t>
            </w:r>
          </w:p>
          <w:p w14:paraId="21E34609" w14:textId="77777777" w:rsidR="0099152D" w:rsidRDefault="00450A3F">
            <w:pPr>
              <w:spacing w:after="100"/>
              <w:jc w:val="both"/>
            </w:pPr>
            <w:r>
              <w:rPr>
                <w:color w:val="555555"/>
                <w:sz w:val="20"/>
                <w:szCs w:val="20"/>
              </w:rPr>
              <w:t xml:space="preserve">Este es el trabajo menos visible pero más determinante del proyecto. Construir una base de conocimiento estructurada que alimente a los agentes de IA requiere inventariar, limpiar, estructurar y mantener actualizado todo el conocimiento operativo de la compañía: procedimientos, operativas, </w:t>
            </w:r>
            <w:proofErr w:type="spellStart"/>
            <w:r>
              <w:rPr>
                <w:color w:val="555555"/>
                <w:sz w:val="20"/>
                <w:szCs w:val="20"/>
              </w:rPr>
              <w:t>FAQs</w:t>
            </w:r>
            <w:proofErr w:type="spellEnd"/>
            <w:r>
              <w:rPr>
                <w:color w:val="555555"/>
                <w:sz w:val="20"/>
                <w:szCs w:val="20"/>
              </w:rPr>
              <w:t>, guías de producto, manual de marca y voz. Este trabajo conecta directamente con el proyecto de Normalización de Operativas y Procedimientos: si los procedimientos no están normalizados, la base de conocimiento que los ingiere tampoco lo estará, y el agente de IA dará respuestas inconsistentes.</w:t>
            </w:r>
          </w:p>
        </w:tc>
      </w:tr>
    </w:tbl>
    <w:p w14:paraId="3F646C00" w14:textId="77777777" w:rsidR="0099152D" w:rsidRDefault="0099152D">
      <w:pPr>
        <w:spacing w:before="80"/>
      </w:pPr>
    </w:p>
    <w:tbl>
      <w:tblPr>
        <w:tblW w:w="9026" w:type="dxa"/>
        <w:tblCellMar>
          <w:left w:w="10" w:type="dxa"/>
          <w:right w:w="10" w:type="dxa"/>
        </w:tblCellMar>
        <w:tblLook w:val="04A0" w:firstRow="1" w:lastRow="0" w:firstColumn="1" w:lastColumn="0" w:noHBand="0" w:noVBand="1"/>
      </w:tblPr>
      <w:tblGrid>
        <w:gridCol w:w="9026"/>
      </w:tblGrid>
      <w:tr w:rsidR="0099152D" w14:paraId="480D6FF8" w14:textId="77777777">
        <w:tc>
          <w:tcPr>
            <w:tcW w:w="9026" w:type="dxa"/>
            <w:tcBorders>
              <w:top w:val="single" w:sz="4" w:space="0" w:color="E0DED8"/>
              <w:left w:val="single" w:sz="18" w:space="0" w:color="BE2A2A"/>
              <w:bottom w:val="single" w:sz="4" w:space="0" w:color="E0DED8"/>
              <w:right w:val="single" w:sz="4" w:space="0" w:color="E0DED8"/>
            </w:tcBorders>
            <w:shd w:val="clear" w:color="auto" w:fill="FFFFFF"/>
            <w:tcMar>
              <w:top w:w="100" w:type="dxa"/>
              <w:left w:w="200" w:type="dxa"/>
              <w:bottom w:w="100" w:type="dxa"/>
              <w:right w:w="140" w:type="dxa"/>
            </w:tcMar>
          </w:tcPr>
          <w:p w14:paraId="0A9021FB" w14:textId="77777777" w:rsidR="0099152D" w:rsidRDefault="00450A3F">
            <w:pPr>
              <w:spacing w:before="100" w:after="60"/>
            </w:pPr>
            <w:r>
              <w:rPr>
                <w:rFonts w:ascii="Arial" w:hAnsi="Arial" w:cs="Arial"/>
                <w:b/>
                <w:sz w:val="20"/>
                <w:szCs w:val="20"/>
              </w:rPr>
              <w:t>Dimensión de negocio — Operaciones híbridas</w:t>
            </w:r>
          </w:p>
          <w:p w14:paraId="567455D3" w14:textId="77777777" w:rsidR="0099152D" w:rsidRDefault="00450A3F">
            <w:pPr>
              <w:spacing w:after="100"/>
              <w:jc w:val="both"/>
            </w:pPr>
            <w:r>
              <w:rPr>
                <w:color w:val="555555"/>
                <w:sz w:val="20"/>
                <w:szCs w:val="20"/>
              </w:rPr>
              <w:t>El modelo híbrido cambia la composición del trabajo en los equipos de atención. Los agentes humanos reciben menos llamadas y chats rutinarios y más casos complejos, con mayor contexto disponible en pantalla. Eso requiere formación en cómo trabajar con el agente de IA como compañero —cómo leer el contexto que traslada, cómo retomar una conversación sin empezar desde cero— y una adaptación de las métricas de rendimiento que refleje esta nueva realidad.</w:t>
            </w:r>
          </w:p>
        </w:tc>
      </w:tr>
    </w:tbl>
    <w:p w14:paraId="468D61A6" w14:textId="77777777" w:rsidR="0099152D" w:rsidRDefault="0099152D">
      <w:pPr>
        <w:spacing w:before="80"/>
      </w:pPr>
    </w:p>
    <w:p w14:paraId="38E7EE01" w14:textId="77777777" w:rsidR="0099152D" w:rsidRDefault="0099152D">
      <w:pPr>
        <w:pBdr>
          <w:top w:val="single" w:sz="1" w:space="1" w:color="D3D1C7"/>
        </w:pBdr>
        <w:spacing w:before="240"/>
      </w:pPr>
    </w:p>
    <w:p w14:paraId="34A267E4" w14:textId="77777777" w:rsidR="0099152D" w:rsidRDefault="00450A3F">
      <w:pPr>
        <w:spacing w:before="200" w:after="160"/>
      </w:pPr>
      <w:r>
        <w:rPr>
          <w:rFonts w:ascii="Arial" w:hAnsi="Arial" w:cs="Arial"/>
          <w:b/>
          <w:sz w:val="24"/>
          <w:szCs w:val="24"/>
        </w:rPr>
        <w:t>Áreas implicadas y misión en el proyecto</w:t>
      </w:r>
    </w:p>
    <w:tbl>
      <w:tblPr>
        <w:tblW w:w="9026" w:type="dxa"/>
        <w:tblCellMar>
          <w:left w:w="10" w:type="dxa"/>
          <w:right w:w="10" w:type="dxa"/>
        </w:tblCellMar>
        <w:tblLook w:val="04A0" w:firstRow="1" w:lastRow="0" w:firstColumn="1" w:lastColumn="0" w:noHBand="0" w:noVBand="1"/>
      </w:tblPr>
      <w:tblGrid>
        <w:gridCol w:w="2800"/>
        <w:gridCol w:w="6226"/>
      </w:tblGrid>
      <w:tr w:rsidR="0099152D" w14:paraId="309E53E3" w14:textId="77777777">
        <w:trPr>
          <w:tblHeader/>
        </w:trPr>
        <w:tc>
          <w:tcPr>
            <w:tcW w:w="2800" w:type="dxa"/>
            <w:shd w:val="clear" w:color="auto" w:fill="3D3D3B"/>
            <w:tcMar>
              <w:top w:w="80" w:type="dxa"/>
              <w:left w:w="140" w:type="dxa"/>
              <w:bottom w:w="80" w:type="dxa"/>
              <w:right w:w="100" w:type="dxa"/>
            </w:tcMar>
          </w:tcPr>
          <w:p w14:paraId="55787343" w14:textId="77777777" w:rsidR="0099152D" w:rsidRDefault="00450A3F">
            <w:pPr>
              <w:spacing w:before="80" w:after="80"/>
            </w:pPr>
            <w:r>
              <w:rPr>
                <w:rFonts w:ascii="Arial" w:hAnsi="Arial" w:cs="Arial"/>
                <w:b/>
                <w:color w:val="FFFFFF"/>
                <w:sz w:val="18"/>
                <w:szCs w:val="18"/>
              </w:rPr>
              <w:t>Área implicada</w:t>
            </w:r>
          </w:p>
        </w:tc>
        <w:tc>
          <w:tcPr>
            <w:tcW w:w="6226" w:type="dxa"/>
            <w:shd w:val="clear" w:color="auto" w:fill="3D3D3B"/>
            <w:tcMar>
              <w:top w:w="80" w:type="dxa"/>
              <w:left w:w="140" w:type="dxa"/>
              <w:bottom w:w="80" w:type="dxa"/>
              <w:right w:w="100" w:type="dxa"/>
            </w:tcMar>
          </w:tcPr>
          <w:p w14:paraId="08EABE97" w14:textId="77777777" w:rsidR="0099152D" w:rsidRDefault="00450A3F">
            <w:pPr>
              <w:spacing w:before="80" w:after="80"/>
            </w:pPr>
            <w:r>
              <w:rPr>
                <w:rFonts w:ascii="Arial" w:hAnsi="Arial" w:cs="Arial"/>
                <w:b/>
                <w:color w:val="FFFFFF"/>
                <w:sz w:val="18"/>
                <w:szCs w:val="18"/>
              </w:rPr>
              <w:t>Misión en el proyecto</w:t>
            </w:r>
          </w:p>
        </w:tc>
      </w:tr>
      <w:tr w:rsidR="0099152D" w14:paraId="544375D2" w14:textId="77777777">
        <w:tc>
          <w:tcPr>
            <w:tcW w:w="28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45050BAC" w14:textId="77777777" w:rsidR="0099152D" w:rsidRDefault="00450A3F">
            <w:pPr>
              <w:spacing w:before="80" w:after="60"/>
            </w:pPr>
            <w:r>
              <w:rPr>
                <w:rFonts w:ascii="Arial" w:hAnsi="Arial" w:cs="Arial"/>
                <w:b/>
                <w:sz w:val="19"/>
                <w:szCs w:val="19"/>
              </w:rPr>
              <w:t>Tecnología</w:t>
            </w:r>
          </w:p>
        </w:tc>
        <w:tc>
          <w:tcPr>
            <w:tcW w:w="6226"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6D9DA803" w14:textId="77777777" w:rsidR="0099152D" w:rsidRDefault="00450A3F">
            <w:pPr>
              <w:spacing w:before="80" w:after="80"/>
              <w:jc w:val="both"/>
            </w:pPr>
            <w:r>
              <w:rPr>
                <w:color w:val="555555"/>
                <w:sz w:val="19"/>
                <w:szCs w:val="19"/>
              </w:rPr>
              <w:t xml:space="preserve">Responsable de las plataformas conversacionales de voz y chat, las integraciones con sistemas </w:t>
            </w:r>
            <w:proofErr w:type="spellStart"/>
            <w:r>
              <w:rPr>
                <w:color w:val="555555"/>
                <w:sz w:val="19"/>
                <w:szCs w:val="19"/>
              </w:rPr>
              <w:t>core</w:t>
            </w:r>
            <w:proofErr w:type="spellEnd"/>
            <w:r>
              <w:rPr>
                <w:color w:val="555555"/>
                <w:sz w:val="19"/>
                <w:szCs w:val="19"/>
              </w:rPr>
              <w:t xml:space="preserve">, los modelos de STT/TTS y los </w:t>
            </w:r>
            <w:proofErr w:type="spellStart"/>
            <w:r>
              <w:rPr>
                <w:color w:val="555555"/>
                <w:sz w:val="19"/>
                <w:szCs w:val="19"/>
              </w:rPr>
              <w:t>LLMs</w:t>
            </w:r>
            <w:proofErr w:type="spellEnd"/>
            <w:r>
              <w:rPr>
                <w:color w:val="555555"/>
                <w:sz w:val="19"/>
                <w:szCs w:val="19"/>
              </w:rPr>
              <w:t xml:space="preserve"> que dan capacidad generativa a los agentes. Lidera la implementación de la arquitectura híbrida (reglas + generativo) en ambos canales.</w:t>
            </w:r>
          </w:p>
        </w:tc>
      </w:tr>
      <w:tr w:rsidR="0099152D" w14:paraId="426C310B" w14:textId="77777777">
        <w:tc>
          <w:tcPr>
            <w:tcW w:w="28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3B0BE782" w14:textId="77777777" w:rsidR="0099152D" w:rsidRDefault="00450A3F">
            <w:pPr>
              <w:spacing w:before="80" w:after="60"/>
            </w:pPr>
            <w:r>
              <w:rPr>
                <w:rFonts w:ascii="Arial" w:hAnsi="Arial" w:cs="Arial"/>
                <w:b/>
                <w:sz w:val="19"/>
                <w:szCs w:val="19"/>
              </w:rPr>
              <w:t>Transformación</w:t>
            </w:r>
          </w:p>
        </w:tc>
        <w:tc>
          <w:tcPr>
            <w:tcW w:w="6226"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52BD477C" w14:textId="77777777" w:rsidR="0099152D" w:rsidRDefault="00450A3F">
            <w:pPr>
              <w:spacing w:before="80" w:after="80"/>
              <w:jc w:val="both"/>
            </w:pPr>
            <w:r>
              <w:rPr>
                <w:color w:val="555555"/>
                <w:sz w:val="19"/>
                <w:szCs w:val="19"/>
              </w:rPr>
              <w:t xml:space="preserve">Diseña las experiencias conversacionales: casos de uso, </w:t>
            </w:r>
            <w:proofErr w:type="spellStart"/>
            <w:r>
              <w:rPr>
                <w:color w:val="555555"/>
                <w:sz w:val="19"/>
                <w:szCs w:val="19"/>
              </w:rPr>
              <w:t>guión</w:t>
            </w:r>
            <w:proofErr w:type="spellEnd"/>
            <w:r>
              <w:rPr>
                <w:color w:val="555555"/>
                <w:sz w:val="19"/>
                <w:szCs w:val="19"/>
              </w:rPr>
              <w:t xml:space="preserve"> de cada conversación, criterios de escalado al agente humano y auditoría de la calidad de las respuestas. También lidera la construcción de la base de conocimiento junto con los equipos operativos.</w:t>
            </w:r>
          </w:p>
        </w:tc>
      </w:tr>
      <w:tr w:rsidR="0099152D" w14:paraId="046FBD1C" w14:textId="77777777">
        <w:tc>
          <w:tcPr>
            <w:tcW w:w="28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4BA25A66" w14:textId="77777777" w:rsidR="0099152D" w:rsidRDefault="00450A3F">
            <w:pPr>
              <w:spacing w:before="80" w:after="60"/>
            </w:pPr>
            <w:r>
              <w:rPr>
                <w:rFonts w:ascii="Arial" w:hAnsi="Arial" w:cs="Arial"/>
                <w:b/>
                <w:sz w:val="19"/>
                <w:szCs w:val="19"/>
              </w:rPr>
              <w:lastRenderedPageBreak/>
              <w:t>Negocio (por ramo)</w:t>
            </w:r>
          </w:p>
        </w:tc>
        <w:tc>
          <w:tcPr>
            <w:tcW w:w="6226"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2E72C802" w14:textId="77777777" w:rsidR="0099152D" w:rsidRDefault="00450A3F">
            <w:pPr>
              <w:spacing w:before="80" w:after="80"/>
              <w:jc w:val="both"/>
            </w:pPr>
            <w:r>
              <w:rPr>
                <w:color w:val="555555"/>
                <w:sz w:val="19"/>
                <w:szCs w:val="19"/>
              </w:rPr>
              <w:t>Define qué casos de uso son prioritarios en su área, valida los criterios de resolución, aporta el conocimiento operativo a la base de conocimiento y se adapta al nuevo modelo híbrido de operación en su equipo de atención.</w:t>
            </w:r>
          </w:p>
        </w:tc>
      </w:tr>
    </w:tbl>
    <w:p w14:paraId="4DB6A07B" w14:textId="77777777" w:rsidR="0099152D" w:rsidRDefault="0099152D">
      <w:pPr>
        <w:spacing w:before="100" w:after="100"/>
      </w:pPr>
    </w:p>
    <w:p w14:paraId="72376932" w14:textId="77777777" w:rsidR="0099152D" w:rsidRDefault="0099152D">
      <w:pPr>
        <w:pBdr>
          <w:bottom w:val="single" w:sz="1" w:space="1" w:color="D3D1C7"/>
        </w:pBdr>
        <w:spacing w:before="200" w:after="240"/>
      </w:pPr>
    </w:p>
    <w:p w14:paraId="52CB8D30" w14:textId="77777777" w:rsidR="0099152D" w:rsidRDefault="00450A3F">
      <w:pPr>
        <w:spacing w:after="120"/>
      </w:pPr>
      <w:r>
        <w:rPr>
          <w:rFonts w:ascii="Arial" w:hAnsi="Arial" w:cs="Arial"/>
          <w:color w:val="888888"/>
          <w:sz w:val="16"/>
          <w:szCs w:val="16"/>
        </w:rPr>
        <w:t>PROYECTOS INTERDEPENDIENTES</w:t>
      </w:r>
    </w:p>
    <w:p w14:paraId="65F4452C" w14:textId="77777777" w:rsidR="0099152D" w:rsidRDefault="00450A3F">
      <w:pPr>
        <w:spacing w:after="160"/>
      </w:pPr>
      <w:r>
        <w:rPr>
          <w:rFonts w:ascii="Arial" w:hAnsi="Arial" w:cs="Arial"/>
          <w:b/>
          <w:sz w:val="30"/>
          <w:szCs w:val="30"/>
        </w:rPr>
        <w:t>Este proyecto necesita que dos iniciativas en marcha le abran el camino</w:t>
      </w:r>
    </w:p>
    <w:p w14:paraId="670EA7E9" w14:textId="77777777" w:rsidR="0099152D" w:rsidRDefault="00450A3F">
      <w:pPr>
        <w:spacing w:after="280"/>
        <w:jc w:val="both"/>
      </w:pPr>
      <w:r>
        <w:rPr>
          <w:i/>
          <w:color w:val="555555"/>
        </w:rPr>
        <w:t>La IA conversacional no opera en el vacío: necesita una infraestructura de canal que le dé acceso y un corpus de conocimiento que la alimente. Ambas cosas vienen de fuera del proyecto.</w:t>
      </w:r>
    </w:p>
    <w:tbl>
      <w:tblPr>
        <w:tblW w:w="9026" w:type="dxa"/>
        <w:tblCellMar>
          <w:left w:w="10" w:type="dxa"/>
          <w:right w:w="10" w:type="dxa"/>
        </w:tblCellMar>
        <w:tblLook w:val="04A0" w:firstRow="1" w:lastRow="0" w:firstColumn="1" w:lastColumn="0" w:noHBand="0" w:noVBand="1"/>
      </w:tblPr>
      <w:tblGrid>
        <w:gridCol w:w="9026"/>
      </w:tblGrid>
      <w:tr w:rsidR="0099152D" w14:paraId="76B071AF" w14:textId="77777777">
        <w:tc>
          <w:tcPr>
            <w:tcW w:w="9026" w:type="dxa"/>
            <w:tcBorders>
              <w:top w:val="single" w:sz="4" w:space="0" w:color="BE2A2A"/>
              <w:left w:val="single" w:sz="18" w:space="0" w:color="BE2A2A"/>
              <w:bottom w:val="single" w:sz="4" w:space="0" w:color="BE2A2A"/>
              <w:right w:val="single" w:sz="4" w:space="0" w:color="BE2A2A"/>
            </w:tcBorders>
            <w:shd w:val="clear" w:color="auto" w:fill="FFFFFF"/>
            <w:tcMar>
              <w:top w:w="120" w:type="dxa"/>
              <w:left w:w="200" w:type="dxa"/>
              <w:bottom w:w="120" w:type="dxa"/>
              <w:right w:w="140" w:type="dxa"/>
            </w:tcMar>
          </w:tcPr>
          <w:p w14:paraId="384C8A4F" w14:textId="77777777" w:rsidR="0099152D" w:rsidRDefault="00450A3F">
            <w:pPr>
              <w:spacing w:before="80" w:after="60"/>
            </w:pPr>
            <w:r>
              <w:rPr>
                <w:rFonts w:ascii="Arial" w:hAnsi="Arial" w:cs="Arial"/>
                <w:b/>
                <w:sz w:val="20"/>
                <w:szCs w:val="20"/>
              </w:rPr>
              <w:t xml:space="preserve">Nueva plataforma de </w:t>
            </w:r>
            <w:proofErr w:type="spellStart"/>
            <w:r>
              <w:rPr>
                <w:rFonts w:ascii="Arial" w:hAnsi="Arial" w:cs="Arial"/>
                <w:b/>
                <w:sz w:val="20"/>
                <w:szCs w:val="20"/>
              </w:rPr>
              <w:t>contact</w:t>
            </w:r>
            <w:proofErr w:type="spellEnd"/>
            <w:r>
              <w:rPr>
                <w:rFonts w:ascii="Arial" w:hAnsi="Arial" w:cs="Arial"/>
                <w:b/>
                <w:sz w:val="20"/>
                <w:szCs w:val="20"/>
              </w:rPr>
              <w:t xml:space="preserve"> center (Genesys Cloud)</w:t>
            </w:r>
          </w:p>
          <w:p w14:paraId="6B62CB6B" w14:textId="77777777" w:rsidR="0099152D" w:rsidRDefault="00450A3F">
            <w:pPr>
              <w:spacing w:after="60"/>
            </w:pPr>
            <w:r>
              <w:rPr>
                <w:rFonts w:ascii="Arial" w:hAnsi="Arial" w:cs="Arial"/>
                <w:color w:val="BE2A2A"/>
                <w:sz w:val="17"/>
                <w:szCs w:val="17"/>
              </w:rPr>
              <w:t>Dependencia: Alta — crítica para el canal de voz</w:t>
            </w:r>
          </w:p>
          <w:p w14:paraId="4822B617" w14:textId="77777777" w:rsidR="0099152D" w:rsidRDefault="00450A3F">
            <w:pPr>
              <w:spacing w:after="100"/>
              <w:jc w:val="both"/>
            </w:pPr>
            <w:r>
              <w:rPr>
                <w:color w:val="555555"/>
                <w:sz w:val="20"/>
                <w:szCs w:val="20"/>
              </w:rPr>
              <w:t xml:space="preserve">Los primeros agentes de voz con IA desplegados en 2026 han dado resultados por debajo de lo esperado precisamente porque operaban sobre la plataforma antigua. Genesys Cloud es el requisito previo para que los agentes de voz con IA funcionen al nivel de resolución que necesitamos: da acceso a las </w:t>
            </w:r>
            <w:proofErr w:type="spellStart"/>
            <w:r>
              <w:rPr>
                <w:color w:val="555555"/>
                <w:sz w:val="20"/>
                <w:szCs w:val="20"/>
              </w:rPr>
              <w:t>APIs</w:t>
            </w:r>
            <w:proofErr w:type="spellEnd"/>
            <w:r>
              <w:rPr>
                <w:color w:val="555555"/>
                <w:sz w:val="20"/>
                <w:szCs w:val="20"/>
              </w:rPr>
              <w:t xml:space="preserve"> correctas, elimina las restricciones del IVR heredado y permite una integración en tiempo real con el CRM. La secuencia es clara: primero migra el canal, después se despliega la IA sobre el canal migrado.</w:t>
            </w:r>
          </w:p>
        </w:tc>
      </w:tr>
    </w:tbl>
    <w:p w14:paraId="6A0644E7" w14:textId="77777777" w:rsidR="0099152D" w:rsidRDefault="0099152D">
      <w:pPr>
        <w:spacing w:before="80"/>
      </w:pPr>
    </w:p>
    <w:tbl>
      <w:tblPr>
        <w:tblW w:w="9026" w:type="dxa"/>
        <w:tblCellMar>
          <w:left w:w="10" w:type="dxa"/>
          <w:right w:w="10" w:type="dxa"/>
        </w:tblCellMar>
        <w:tblLook w:val="04A0" w:firstRow="1" w:lastRow="0" w:firstColumn="1" w:lastColumn="0" w:noHBand="0" w:noVBand="1"/>
      </w:tblPr>
      <w:tblGrid>
        <w:gridCol w:w="9026"/>
      </w:tblGrid>
      <w:tr w:rsidR="0099152D" w14:paraId="7B31C057" w14:textId="77777777">
        <w:tc>
          <w:tcPr>
            <w:tcW w:w="9026" w:type="dxa"/>
            <w:tcBorders>
              <w:top w:val="single" w:sz="4" w:space="0" w:color="BE2A2A"/>
              <w:left w:val="single" w:sz="18" w:space="0" w:color="BE2A2A"/>
              <w:bottom w:val="single" w:sz="4" w:space="0" w:color="BE2A2A"/>
              <w:right w:val="single" w:sz="4" w:space="0" w:color="BE2A2A"/>
            </w:tcBorders>
            <w:shd w:val="clear" w:color="auto" w:fill="FFFFFF"/>
            <w:tcMar>
              <w:top w:w="120" w:type="dxa"/>
              <w:left w:w="200" w:type="dxa"/>
              <w:bottom w:w="120" w:type="dxa"/>
              <w:right w:w="140" w:type="dxa"/>
            </w:tcMar>
          </w:tcPr>
          <w:p w14:paraId="0D8E355A" w14:textId="77777777" w:rsidR="0099152D" w:rsidRDefault="00450A3F">
            <w:pPr>
              <w:spacing w:before="80" w:after="60"/>
            </w:pPr>
            <w:r>
              <w:rPr>
                <w:rFonts w:ascii="Arial" w:hAnsi="Arial" w:cs="Arial"/>
                <w:b/>
                <w:sz w:val="20"/>
                <w:szCs w:val="20"/>
              </w:rPr>
              <w:t>Normalización de operativas y procedimientos</w:t>
            </w:r>
          </w:p>
          <w:p w14:paraId="23A17299" w14:textId="77777777" w:rsidR="0099152D" w:rsidRDefault="00450A3F">
            <w:pPr>
              <w:spacing w:after="60"/>
            </w:pPr>
            <w:r>
              <w:rPr>
                <w:rFonts w:ascii="Arial" w:hAnsi="Arial" w:cs="Arial"/>
                <w:color w:val="BE2A2A"/>
                <w:sz w:val="17"/>
                <w:szCs w:val="17"/>
              </w:rPr>
              <w:t>Dependencia: Alta — crítica para ambos canales</w:t>
            </w:r>
          </w:p>
          <w:p w14:paraId="03B61434" w14:textId="77777777" w:rsidR="0099152D" w:rsidRDefault="00450A3F">
            <w:pPr>
              <w:spacing w:after="100"/>
              <w:jc w:val="both"/>
            </w:pPr>
            <w:r>
              <w:rPr>
                <w:color w:val="555555"/>
                <w:sz w:val="20"/>
                <w:szCs w:val="20"/>
              </w:rPr>
              <w:t>Un agente de IA que consume procedimientos inconsistentes produce respuestas inconsistentes. La base de conocimiento que alimenta a los agentes de voz y chat es tan buena como la calidad de la información que la compone. El proyecto de Normalización de Operativas y Procedimientos es el que garantiza que esa información está estandarizada, actualizada y en el formato correcto para ser ingerida por los sistemas de IA. Ambos proyectos deben ejecutarse en paralelo y en coordinación estrecha: la normalización alimenta la base de conocimiento, y la base de conocimiento define qué procedimientos son prioritarios para normalizar.</w:t>
            </w:r>
          </w:p>
        </w:tc>
      </w:tr>
    </w:tbl>
    <w:p w14:paraId="3EACC550" w14:textId="77777777" w:rsidR="0099152D" w:rsidRDefault="0099152D">
      <w:pPr>
        <w:spacing w:before="80"/>
      </w:pPr>
    </w:p>
    <w:tbl>
      <w:tblPr>
        <w:tblW w:w="9026" w:type="dxa"/>
        <w:tblCellMar>
          <w:left w:w="10" w:type="dxa"/>
          <w:right w:w="10" w:type="dxa"/>
        </w:tblCellMar>
        <w:tblLook w:val="04A0" w:firstRow="1" w:lastRow="0" w:firstColumn="1" w:lastColumn="0" w:noHBand="0" w:noVBand="1"/>
      </w:tblPr>
      <w:tblGrid>
        <w:gridCol w:w="9026"/>
      </w:tblGrid>
      <w:tr w:rsidR="0099152D" w14:paraId="4F912FC2" w14:textId="77777777">
        <w:tc>
          <w:tcPr>
            <w:tcW w:w="9026" w:type="dxa"/>
            <w:tcBorders>
              <w:top w:val="single" w:sz="4" w:space="0" w:color="8B6914"/>
              <w:left w:val="single" w:sz="18" w:space="0" w:color="8B6914"/>
              <w:bottom w:val="single" w:sz="4" w:space="0" w:color="8B6914"/>
              <w:right w:val="single" w:sz="4" w:space="0" w:color="8B6914"/>
            </w:tcBorders>
            <w:shd w:val="clear" w:color="auto" w:fill="FFFFFF"/>
            <w:tcMar>
              <w:top w:w="120" w:type="dxa"/>
              <w:left w:w="200" w:type="dxa"/>
              <w:bottom w:w="120" w:type="dxa"/>
              <w:right w:w="140" w:type="dxa"/>
            </w:tcMar>
          </w:tcPr>
          <w:p w14:paraId="051A63B6" w14:textId="77777777" w:rsidR="0099152D" w:rsidRDefault="00450A3F">
            <w:pPr>
              <w:spacing w:before="80" w:after="60"/>
            </w:pPr>
            <w:r>
              <w:rPr>
                <w:rFonts w:ascii="Arial" w:hAnsi="Arial" w:cs="Arial"/>
                <w:b/>
                <w:sz w:val="20"/>
                <w:szCs w:val="20"/>
              </w:rPr>
              <w:t>CRM / Salesforce</w:t>
            </w:r>
          </w:p>
          <w:p w14:paraId="606FE1D5" w14:textId="77777777" w:rsidR="0099152D" w:rsidRDefault="00450A3F">
            <w:pPr>
              <w:spacing w:after="60"/>
            </w:pPr>
            <w:r>
              <w:rPr>
                <w:rFonts w:ascii="Arial" w:hAnsi="Arial" w:cs="Arial"/>
                <w:color w:val="8B6914"/>
                <w:sz w:val="17"/>
                <w:szCs w:val="17"/>
              </w:rPr>
              <w:t xml:space="preserve">Dependencia: Media — habilitador de la experiencia </w:t>
            </w:r>
            <w:proofErr w:type="spellStart"/>
            <w:r>
              <w:rPr>
                <w:rFonts w:ascii="Arial" w:hAnsi="Arial" w:cs="Arial"/>
                <w:color w:val="8B6914"/>
                <w:sz w:val="17"/>
                <w:szCs w:val="17"/>
              </w:rPr>
              <w:t>omnicanal</w:t>
            </w:r>
            <w:proofErr w:type="spellEnd"/>
          </w:p>
          <w:p w14:paraId="3F37825E" w14:textId="0660176D" w:rsidR="0099152D" w:rsidRDefault="00450A3F">
            <w:pPr>
              <w:spacing w:after="100"/>
              <w:jc w:val="both"/>
            </w:pPr>
            <w:r>
              <w:rPr>
                <w:color w:val="555555"/>
                <w:sz w:val="20"/>
                <w:szCs w:val="20"/>
              </w:rPr>
              <w:t xml:space="preserve">El valor completo del modelo híbrido se realiza cuando </w:t>
            </w:r>
            <w:r w:rsidR="005F2D4A">
              <w:rPr>
                <w:color w:val="555555"/>
                <w:sz w:val="20"/>
                <w:szCs w:val="20"/>
              </w:rPr>
              <w:t>el agente de IA recibe toda la información de contexto de un cliente, sus interacciones previas y su situación actua</w:t>
            </w:r>
            <w:r w:rsidR="00DA6DB7">
              <w:rPr>
                <w:color w:val="555555"/>
                <w:sz w:val="20"/>
                <w:szCs w:val="20"/>
              </w:rPr>
              <w:t xml:space="preserve">l, y </w:t>
            </w:r>
            <w:r>
              <w:rPr>
                <w:color w:val="555555"/>
                <w:sz w:val="20"/>
                <w:szCs w:val="20"/>
              </w:rPr>
              <w:t xml:space="preserve">el agente humano que recoge una conversación de la IA tiene el contexto completo </w:t>
            </w:r>
            <w:r w:rsidR="00DA6DB7">
              <w:rPr>
                <w:color w:val="555555"/>
                <w:sz w:val="20"/>
                <w:szCs w:val="20"/>
              </w:rPr>
              <w:t xml:space="preserve">de la conversación previa </w:t>
            </w:r>
            <w:r>
              <w:rPr>
                <w:color w:val="555555"/>
                <w:sz w:val="20"/>
                <w:szCs w:val="20"/>
              </w:rPr>
              <w:t xml:space="preserve">en su pantalla del CRM. Sin </w:t>
            </w:r>
            <w:r w:rsidR="00DA6DB7">
              <w:rPr>
                <w:color w:val="555555"/>
                <w:sz w:val="20"/>
                <w:szCs w:val="20"/>
              </w:rPr>
              <w:t>esta</w:t>
            </w:r>
            <w:r>
              <w:rPr>
                <w:color w:val="555555"/>
                <w:sz w:val="20"/>
                <w:szCs w:val="20"/>
              </w:rPr>
              <w:t xml:space="preserve"> integración, el traspaso de IA a humano sigue siendo una ruptura de la experiencia. La conexión entre los canales conversacionales y el CRM no es un requisito de lanzamiento, pero sí es parte del horizonte de valor del proyecto.</w:t>
            </w:r>
          </w:p>
        </w:tc>
      </w:tr>
    </w:tbl>
    <w:p w14:paraId="0FE1F6A1" w14:textId="77777777" w:rsidR="0099152D" w:rsidRDefault="0099152D">
      <w:pPr>
        <w:spacing w:before="80"/>
      </w:pPr>
    </w:p>
    <w:p w14:paraId="6ABF2719" w14:textId="77777777" w:rsidR="0099152D" w:rsidRDefault="0099152D">
      <w:pPr>
        <w:spacing w:before="200" w:after="80"/>
      </w:pPr>
    </w:p>
    <w:p w14:paraId="424BD528" w14:textId="77777777" w:rsidR="0099152D" w:rsidRDefault="00450A3F">
      <w:pPr>
        <w:spacing w:after="120"/>
        <w:jc w:val="both"/>
      </w:pPr>
      <w:r>
        <w:rPr>
          <w:i/>
          <w:color w:val="888888"/>
          <w:sz w:val="19"/>
          <w:szCs w:val="19"/>
        </w:rPr>
        <w:lastRenderedPageBreak/>
        <w:t>La IA conversacional no es el futuro de la atención al cliente. En Línea Directa, es el presente que estamos construyendo.</w:t>
      </w:r>
    </w:p>
    <w:p w14:paraId="723D28A9" w14:textId="77777777" w:rsidR="0099152D" w:rsidRDefault="0099152D">
      <w:pPr>
        <w:pBdr>
          <w:bottom w:val="single" w:sz="1" w:space="1" w:color="D3D1C7"/>
        </w:pBdr>
        <w:spacing w:before="280" w:after="120"/>
      </w:pPr>
    </w:p>
    <w:p w14:paraId="2F4DC006" w14:textId="77777777" w:rsidR="0099152D" w:rsidRDefault="00450A3F">
      <w:r>
        <w:rPr>
          <w:rFonts w:ascii="Arial" w:hAnsi="Arial" w:cs="Arial"/>
          <w:color w:val="888888"/>
          <w:sz w:val="16"/>
          <w:szCs w:val="16"/>
        </w:rPr>
        <w:t>Línea Directa Aseguradora · Documento de uso interno · Confidencial</w:t>
      </w:r>
    </w:p>
    <w:sectPr w:rsidR="0099152D">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294C9" w14:textId="77777777" w:rsidR="004571DE" w:rsidRDefault="004571DE" w:rsidP="007244D3">
      <w:r>
        <w:separator/>
      </w:r>
    </w:p>
  </w:endnote>
  <w:endnote w:type="continuationSeparator" w:id="0">
    <w:p w14:paraId="06B8FBF0" w14:textId="77777777" w:rsidR="004571DE" w:rsidRDefault="004571DE" w:rsidP="007244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44623" w14:textId="069324A6" w:rsidR="007244D3" w:rsidRDefault="007244D3">
    <w:pPr>
      <w:pStyle w:val="Piedepgina"/>
    </w:pPr>
    <w:r>
      <w:rPr>
        <w:noProof/>
      </w:rPr>
      <mc:AlternateContent>
        <mc:Choice Requires="wps">
          <w:drawing>
            <wp:anchor distT="0" distB="0" distL="0" distR="0" simplePos="0" relativeHeight="251662336" behindDoc="0" locked="0" layoutInCell="1" allowOverlap="1" wp14:anchorId="55F19C8A" wp14:editId="1DADCCF3">
              <wp:simplePos x="635" y="635"/>
              <wp:positionH relativeFrom="page">
                <wp:align>center</wp:align>
              </wp:positionH>
              <wp:positionV relativeFrom="page">
                <wp:align>bottom</wp:align>
              </wp:positionV>
              <wp:extent cx="2259965" cy="314325"/>
              <wp:effectExtent l="0" t="0" r="6985" b="0"/>
              <wp:wrapNone/>
              <wp:docPr id="1699759706" name="Cuadro de texto 5" descr="Uso Interno - No compartir fuera de la organizació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9965" cy="314325"/>
                      </a:xfrm>
                      <a:prstGeom prst="rect">
                        <a:avLst/>
                      </a:prstGeom>
                      <a:noFill/>
                      <a:ln>
                        <a:noFill/>
                      </a:ln>
                    </wps:spPr>
                    <wps:txbx>
                      <w:txbxContent>
                        <w:p w14:paraId="0A1AC418" w14:textId="3FE18FA1" w:rsidR="007244D3" w:rsidRPr="007244D3" w:rsidRDefault="007244D3" w:rsidP="007244D3">
                          <w:pPr>
                            <w:rPr>
                              <w:rFonts w:ascii="Aptos" w:eastAsia="Aptos" w:hAnsi="Aptos" w:cs="Aptos"/>
                              <w:noProof/>
                              <w:color w:val="000000"/>
                              <w:sz w:val="16"/>
                              <w:szCs w:val="16"/>
                            </w:rPr>
                          </w:pPr>
                          <w:r w:rsidRPr="007244D3">
                            <w:rPr>
                              <w:rFonts w:ascii="Aptos" w:eastAsia="Aptos" w:hAnsi="Aptos" w:cs="Aptos"/>
                              <w:noProof/>
                              <w:color w:val="000000"/>
                              <w:sz w:val="16"/>
                              <w:szCs w:val="16"/>
                            </w:rPr>
                            <w:t>Uso Interno - No compartir fuera de la organización.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5F19C8A" id="_x0000_t202" coordsize="21600,21600" o:spt="202" path="m,l,21600r21600,l21600,xe">
              <v:stroke joinstyle="miter"/>
              <v:path gradientshapeok="t" o:connecttype="rect"/>
            </v:shapetype>
            <v:shape id="Cuadro de texto 5" o:spid="_x0000_s1028" type="#_x0000_t202" alt="Uso Interno - No compartir fuera de la organización." style="position:absolute;margin-left:0;margin-top:0;width:177.95pt;height:24.7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" filled="f" stroked="f">
              <v:textbox style="mso-fit-shape-to-text:t" inset="0,0,0,15pt">
                <w:txbxContent>
                  <w:p w14:paraId="0A1AC418" w14:textId="3FE18FA1" w:rsidR="007244D3" w:rsidRPr="007244D3" w:rsidRDefault="007244D3" w:rsidP="007244D3">
                    <w:pPr>
                      <w:rPr>
                        <w:rFonts w:ascii="Aptos" w:eastAsia="Aptos" w:hAnsi="Aptos" w:cs="Aptos"/>
                        <w:noProof/>
                        <w:color w:val="000000"/>
                        <w:sz w:val="16"/>
                        <w:szCs w:val="16"/>
                      </w:rPr>
                    </w:pPr>
                    <w:r w:rsidRPr="007244D3">
                      <w:rPr>
                        <w:rFonts w:ascii="Aptos" w:eastAsia="Aptos" w:hAnsi="Aptos" w:cs="Aptos"/>
                        <w:noProof/>
                        <w:color w:val="000000"/>
                        <w:sz w:val="16"/>
                        <w:szCs w:val="16"/>
                      </w:rPr>
                      <w:t>Uso Interno - No compartir fuera de la organización.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4B5AB" w14:textId="19297E3A" w:rsidR="007244D3" w:rsidRDefault="007244D3">
    <w:pPr>
      <w:pStyle w:val="Piedepgina"/>
    </w:pPr>
    <w:r>
      <w:rPr>
        <w:noProof/>
      </w:rPr>
      <mc:AlternateContent>
        <mc:Choice Requires="wps">
          <w:drawing>
            <wp:anchor distT="0" distB="0" distL="0" distR="0" simplePos="0" relativeHeight="251663360" behindDoc="0" locked="0" layoutInCell="1" allowOverlap="1" wp14:anchorId="67DC2706" wp14:editId="104271E7">
              <wp:simplePos x="914400" y="10086109"/>
              <wp:positionH relativeFrom="page">
                <wp:align>center</wp:align>
              </wp:positionH>
              <wp:positionV relativeFrom="page">
                <wp:align>bottom</wp:align>
              </wp:positionV>
              <wp:extent cx="2259965" cy="314325"/>
              <wp:effectExtent l="0" t="0" r="6985" b="0"/>
              <wp:wrapNone/>
              <wp:docPr id="213857560" name="Cuadro de texto 6" descr="Uso Interno - No compartir fuera de la organizació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9965" cy="314325"/>
                      </a:xfrm>
                      <a:prstGeom prst="rect">
                        <a:avLst/>
                      </a:prstGeom>
                      <a:noFill/>
                      <a:ln>
                        <a:noFill/>
                      </a:ln>
                    </wps:spPr>
                    <wps:txbx>
                      <w:txbxContent>
                        <w:p w14:paraId="6518B6CD" w14:textId="0029D4A8" w:rsidR="007244D3" w:rsidRPr="007244D3" w:rsidRDefault="007244D3" w:rsidP="007244D3">
                          <w:pPr>
                            <w:rPr>
                              <w:rFonts w:ascii="Aptos" w:eastAsia="Aptos" w:hAnsi="Aptos" w:cs="Aptos"/>
                              <w:noProof/>
                              <w:color w:val="000000"/>
                              <w:sz w:val="16"/>
                              <w:szCs w:val="16"/>
                            </w:rPr>
                          </w:pPr>
                          <w:r w:rsidRPr="007244D3">
                            <w:rPr>
                              <w:rFonts w:ascii="Aptos" w:eastAsia="Aptos" w:hAnsi="Aptos" w:cs="Aptos"/>
                              <w:noProof/>
                              <w:color w:val="000000"/>
                              <w:sz w:val="16"/>
                              <w:szCs w:val="16"/>
                            </w:rPr>
                            <w:t>Uso Interno - No compartir fuera de la organización.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7DC2706" id="_x0000_t202" coordsize="21600,21600" o:spt="202" path="m,l,21600r21600,l21600,xe">
              <v:stroke joinstyle="miter"/>
              <v:path gradientshapeok="t" o:connecttype="rect"/>
            </v:shapetype>
            <v:shape id="Cuadro de texto 6" o:spid="_x0000_s1029" type="#_x0000_t202" alt="Uso Interno - No compartir fuera de la organización." style="position:absolute;margin-left:0;margin-top:0;width:177.95pt;height:24.7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" filled="f" stroked="f">
              <v:textbox style="mso-fit-shape-to-text:t" inset="0,0,0,15pt">
                <w:txbxContent>
                  <w:p w14:paraId="6518B6CD" w14:textId="0029D4A8" w:rsidR="007244D3" w:rsidRPr="007244D3" w:rsidRDefault="007244D3" w:rsidP="007244D3">
                    <w:pPr>
                      <w:rPr>
                        <w:rFonts w:ascii="Aptos" w:eastAsia="Aptos" w:hAnsi="Aptos" w:cs="Aptos"/>
                        <w:noProof/>
                        <w:color w:val="000000"/>
                        <w:sz w:val="16"/>
                        <w:szCs w:val="16"/>
                      </w:rPr>
                    </w:pPr>
                    <w:r w:rsidRPr="007244D3">
                      <w:rPr>
                        <w:rFonts w:ascii="Aptos" w:eastAsia="Aptos" w:hAnsi="Aptos" w:cs="Aptos"/>
                        <w:noProof/>
                        <w:color w:val="000000"/>
                        <w:sz w:val="16"/>
                        <w:szCs w:val="16"/>
                      </w:rPr>
                      <w:t>Uso Interno - No compartir fuera de la organización.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C949B" w14:textId="618267F3" w:rsidR="007244D3" w:rsidRDefault="007244D3">
    <w:pPr>
      <w:pStyle w:val="Piedepgina"/>
    </w:pPr>
    <w:r>
      <w:rPr>
        <w:noProof/>
      </w:rPr>
      <mc:AlternateContent>
        <mc:Choice Requires="wps">
          <w:drawing>
            <wp:anchor distT="0" distB="0" distL="0" distR="0" simplePos="0" relativeHeight="251661312" behindDoc="0" locked="0" layoutInCell="1" allowOverlap="1" wp14:anchorId="62DAB4CF" wp14:editId="44F31B6C">
              <wp:simplePos x="635" y="635"/>
              <wp:positionH relativeFrom="page">
                <wp:align>center</wp:align>
              </wp:positionH>
              <wp:positionV relativeFrom="page">
                <wp:align>bottom</wp:align>
              </wp:positionV>
              <wp:extent cx="2259965" cy="314325"/>
              <wp:effectExtent l="0" t="0" r="6985" b="0"/>
              <wp:wrapNone/>
              <wp:docPr id="1523213971" name="Cuadro de texto 4" descr="Uso Interno - No compartir fuera de la organizació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9965" cy="314325"/>
                      </a:xfrm>
                      <a:prstGeom prst="rect">
                        <a:avLst/>
                      </a:prstGeom>
                      <a:noFill/>
                      <a:ln>
                        <a:noFill/>
                      </a:ln>
                    </wps:spPr>
                    <wps:txbx>
                      <w:txbxContent>
                        <w:p w14:paraId="55A3E6AC" w14:textId="0BD5281C" w:rsidR="007244D3" w:rsidRPr="007244D3" w:rsidRDefault="007244D3" w:rsidP="007244D3">
                          <w:pPr>
                            <w:rPr>
                              <w:rFonts w:ascii="Aptos" w:eastAsia="Aptos" w:hAnsi="Aptos" w:cs="Aptos"/>
                              <w:noProof/>
                              <w:color w:val="000000"/>
                              <w:sz w:val="16"/>
                              <w:szCs w:val="16"/>
                            </w:rPr>
                          </w:pPr>
                          <w:r w:rsidRPr="007244D3">
                            <w:rPr>
                              <w:rFonts w:ascii="Aptos" w:eastAsia="Aptos" w:hAnsi="Aptos" w:cs="Aptos"/>
                              <w:noProof/>
                              <w:color w:val="000000"/>
                              <w:sz w:val="16"/>
                              <w:szCs w:val="16"/>
                            </w:rPr>
                            <w:t>Uso Interno - No compartir fuera de la organización.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2DAB4CF" id="_x0000_t202" coordsize="21600,21600" o:spt="202" path="m,l,21600r21600,l21600,xe">
              <v:stroke joinstyle="miter"/>
              <v:path gradientshapeok="t" o:connecttype="rect"/>
            </v:shapetype>
            <v:shape id="Cuadro de texto 4" o:spid="_x0000_s1031" type="#_x0000_t202" alt="Uso Interno - No compartir fuera de la organización." style="position:absolute;margin-left:0;margin-top:0;width:177.95pt;height:24.7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" filled="f" stroked="f">
              <v:textbox style="mso-fit-shape-to-text:t" inset="0,0,0,15pt">
                <w:txbxContent>
                  <w:p w14:paraId="55A3E6AC" w14:textId="0BD5281C" w:rsidR="007244D3" w:rsidRPr="007244D3" w:rsidRDefault="007244D3" w:rsidP="007244D3">
                    <w:pPr>
                      <w:rPr>
                        <w:rFonts w:ascii="Aptos" w:eastAsia="Aptos" w:hAnsi="Aptos" w:cs="Aptos"/>
                        <w:noProof/>
                        <w:color w:val="000000"/>
                        <w:sz w:val="16"/>
                        <w:szCs w:val="16"/>
                      </w:rPr>
                    </w:pPr>
                    <w:r w:rsidRPr="007244D3">
                      <w:rPr>
                        <w:rFonts w:ascii="Aptos" w:eastAsia="Aptos" w:hAnsi="Aptos" w:cs="Aptos"/>
                        <w:noProof/>
                        <w:color w:val="000000"/>
                        <w:sz w:val="16"/>
                        <w:szCs w:val="16"/>
                      </w:rPr>
                      <w:t>Uso Interno - No compartir fuera de la organización.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C578D" w14:textId="77777777" w:rsidR="004571DE" w:rsidRDefault="004571DE" w:rsidP="007244D3">
      <w:r>
        <w:separator/>
      </w:r>
    </w:p>
  </w:footnote>
  <w:footnote w:type="continuationSeparator" w:id="0">
    <w:p w14:paraId="7B77403B" w14:textId="77777777" w:rsidR="004571DE" w:rsidRDefault="004571DE" w:rsidP="007244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AF0C5" w14:textId="2EEF82CD" w:rsidR="007244D3" w:rsidRDefault="007244D3">
    <w:pPr>
      <w:pStyle w:val="Encabezado"/>
    </w:pPr>
    <w:r>
      <w:rPr>
        <w:noProof/>
      </w:rPr>
      <mc:AlternateContent>
        <mc:Choice Requires="wps">
          <w:drawing>
            <wp:anchor distT="0" distB="0" distL="0" distR="0" simplePos="0" relativeHeight="251659264" behindDoc="0" locked="0" layoutInCell="1" allowOverlap="1" wp14:anchorId="3579C1D3" wp14:editId="77F35AC9">
              <wp:simplePos x="635" y="635"/>
              <wp:positionH relativeFrom="page">
                <wp:align>left</wp:align>
              </wp:positionH>
              <wp:positionV relativeFrom="page">
                <wp:align>top</wp:align>
              </wp:positionV>
              <wp:extent cx="647700" cy="345440"/>
              <wp:effectExtent l="0" t="0" r="0" b="16510"/>
              <wp:wrapNone/>
              <wp:docPr id="2128816409" name="Cuadro de texto 2" descr="Intern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7700" cy="345440"/>
                      </a:xfrm>
                      <a:prstGeom prst="rect">
                        <a:avLst/>
                      </a:prstGeom>
                      <a:noFill/>
                      <a:ln>
                        <a:noFill/>
                      </a:ln>
                    </wps:spPr>
                    <wps:txbx>
                      <w:txbxContent>
                        <w:p w14:paraId="6160DCC6" w14:textId="5C028459" w:rsidR="007244D3" w:rsidRPr="007244D3" w:rsidRDefault="007244D3" w:rsidP="007244D3">
                          <w:pPr>
                            <w:rPr>
                              <w:rFonts w:ascii="Aptos" w:eastAsia="Aptos" w:hAnsi="Aptos" w:cs="Aptos"/>
                              <w:noProof/>
                              <w:color w:val="000000"/>
                              <w:sz w:val="20"/>
                              <w:szCs w:val="20"/>
                            </w:rPr>
                          </w:pPr>
                          <w:r w:rsidRPr="007244D3">
                            <w:rPr>
                              <w:rFonts w:ascii="Aptos" w:eastAsia="Aptos" w:hAnsi="Aptos" w:cs="Aptos"/>
                              <w:noProof/>
                              <w:color w:val="000000"/>
                              <w:sz w:val="20"/>
                              <w:szCs w:val="20"/>
                            </w:rPr>
                            <w:t>Interno</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579C1D3" id="_x0000_t202" coordsize="21600,21600" o:spt="202" path="m,l,21600r21600,l21600,xe">
              <v:stroke joinstyle="miter"/>
              <v:path gradientshapeok="t" o:connecttype="rect"/>
            </v:shapetype>
            <v:shape id="Cuadro de texto 2" o:spid="_x0000_s1026" type="#_x0000_t202" alt="Interno" style="position:absolute;margin-left:0;margin-top:0;width:51pt;height:27.2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" filled="f" stroked="f">
              <v:textbox style="mso-fit-shape-to-text:t" inset="20pt,15pt,0,0">
                <w:txbxContent>
                  <w:p w14:paraId="6160DCC6" w14:textId="5C028459" w:rsidR="007244D3" w:rsidRPr="007244D3" w:rsidRDefault="007244D3" w:rsidP="007244D3">
                    <w:pPr>
                      <w:rPr>
                        <w:rFonts w:ascii="Aptos" w:eastAsia="Aptos" w:hAnsi="Aptos" w:cs="Aptos"/>
                        <w:noProof/>
                        <w:color w:val="000000"/>
                        <w:sz w:val="20"/>
                        <w:szCs w:val="20"/>
                      </w:rPr>
                    </w:pPr>
                    <w:r w:rsidRPr="007244D3">
                      <w:rPr>
                        <w:rFonts w:ascii="Aptos" w:eastAsia="Aptos" w:hAnsi="Aptos" w:cs="Aptos"/>
                        <w:noProof/>
                        <w:color w:val="000000"/>
                        <w:sz w:val="20"/>
                        <w:szCs w:val="20"/>
                      </w:rPr>
                      <w:t>Interno</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9D4B5" w14:textId="5E0E272E" w:rsidR="007244D3" w:rsidRDefault="007244D3">
    <w:pPr>
      <w:pStyle w:val="Encabezado"/>
    </w:pPr>
    <w:r>
      <w:rPr>
        <w:noProof/>
      </w:rPr>
      <mc:AlternateContent>
        <mc:Choice Requires="wps">
          <w:drawing>
            <wp:anchor distT="0" distB="0" distL="0" distR="0" simplePos="0" relativeHeight="251660288" behindDoc="0" locked="0" layoutInCell="1" allowOverlap="1" wp14:anchorId="6001EFC4" wp14:editId="3A7ADF2F">
              <wp:simplePos x="914400" y="450273"/>
              <wp:positionH relativeFrom="page">
                <wp:align>left</wp:align>
              </wp:positionH>
              <wp:positionV relativeFrom="page">
                <wp:align>top</wp:align>
              </wp:positionV>
              <wp:extent cx="647700" cy="345440"/>
              <wp:effectExtent l="0" t="0" r="0" b="16510"/>
              <wp:wrapNone/>
              <wp:docPr id="1303809657" name="Cuadro de texto 3" descr="Intern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7700" cy="345440"/>
                      </a:xfrm>
                      <a:prstGeom prst="rect">
                        <a:avLst/>
                      </a:prstGeom>
                      <a:noFill/>
                      <a:ln>
                        <a:noFill/>
                      </a:ln>
                    </wps:spPr>
                    <wps:txbx>
                      <w:txbxContent>
                        <w:p w14:paraId="61A1F42F" w14:textId="1D218971" w:rsidR="007244D3" w:rsidRPr="007244D3" w:rsidRDefault="007244D3" w:rsidP="007244D3">
                          <w:pPr>
                            <w:rPr>
                              <w:rFonts w:ascii="Aptos" w:eastAsia="Aptos" w:hAnsi="Aptos" w:cs="Aptos"/>
                              <w:noProof/>
                              <w:color w:val="000000"/>
                              <w:sz w:val="20"/>
                              <w:szCs w:val="20"/>
                            </w:rPr>
                          </w:pPr>
                          <w:r w:rsidRPr="007244D3">
                            <w:rPr>
                              <w:rFonts w:ascii="Aptos" w:eastAsia="Aptos" w:hAnsi="Aptos" w:cs="Aptos"/>
                              <w:noProof/>
                              <w:color w:val="000000"/>
                              <w:sz w:val="20"/>
                              <w:szCs w:val="20"/>
                            </w:rPr>
                            <w:t>Interno</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001EFC4" id="_x0000_t202" coordsize="21600,21600" o:spt="202" path="m,l,21600r21600,l21600,xe">
              <v:stroke joinstyle="miter"/>
              <v:path gradientshapeok="t" o:connecttype="rect"/>
            </v:shapetype>
            <v:shape id="Cuadro de texto 3" o:spid="_x0000_s1027" type="#_x0000_t202" alt="Interno" style="position:absolute;margin-left:0;margin-top:0;width:51pt;height:27.2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" filled="f" stroked="f">
              <v:textbox style="mso-fit-shape-to-text:t" inset="20pt,15pt,0,0">
                <w:txbxContent>
                  <w:p w14:paraId="61A1F42F" w14:textId="1D218971" w:rsidR="007244D3" w:rsidRPr="007244D3" w:rsidRDefault="007244D3" w:rsidP="007244D3">
                    <w:pPr>
                      <w:rPr>
                        <w:rFonts w:ascii="Aptos" w:eastAsia="Aptos" w:hAnsi="Aptos" w:cs="Aptos"/>
                        <w:noProof/>
                        <w:color w:val="000000"/>
                        <w:sz w:val="20"/>
                        <w:szCs w:val="20"/>
                      </w:rPr>
                    </w:pPr>
                    <w:r w:rsidRPr="007244D3">
                      <w:rPr>
                        <w:rFonts w:ascii="Aptos" w:eastAsia="Aptos" w:hAnsi="Aptos" w:cs="Aptos"/>
                        <w:noProof/>
                        <w:color w:val="000000"/>
                        <w:sz w:val="20"/>
                        <w:szCs w:val="20"/>
                      </w:rPr>
                      <w:t>Interno</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CD12" w14:textId="368472C6" w:rsidR="007244D3" w:rsidRDefault="007244D3">
    <w:pPr>
      <w:pStyle w:val="Encabezado"/>
    </w:pPr>
    <w:r>
      <w:rPr>
        <w:noProof/>
      </w:rPr>
      <mc:AlternateContent>
        <mc:Choice Requires="wps">
          <w:drawing>
            <wp:anchor distT="0" distB="0" distL="0" distR="0" simplePos="0" relativeHeight="251658240" behindDoc="0" locked="0" layoutInCell="1" allowOverlap="1" wp14:anchorId="1233EA27" wp14:editId="6A94E805">
              <wp:simplePos x="635" y="635"/>
              <wp:positionH relativeFrom="page">
                <wp:align>left</wp:align>
              </wp:positionH>
              <wp:positionV relativeFrom="page">
                <wp:align>top</wp:align>
              </wp:positionV>
              <wp:extent cx="647700" cy="345440"/>
              <wp:effectExtent l="0" t="0" r="0" b="16510"/>
              <wp:wrapNone/>
              <wp:docPr id="838621138" name="Cuadro de texto 1" descr="Intern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7700" cy="345440"/>
                      </a:xfrm>
                      <a:prstGeom prst="rect">
                        <a:avLst/>
                      </a:prstGeom>
                      <a:noFill/>
                      <a:ln>
                        <a:noFill/>
                      </a:ln>
                    </wps:spPr>
                    <wps:txbx>
                      <w:txbxContent>
                        <w:p w14:paraId="28865364" w14:textId="4439F899" w:rsidR="007244D3" w:rsidRPr="007244D3" w:rsidRDefault="007244D3" w:rsidP="007244D3">
                          <w:pPr>
                            <w:rPr>
                              <w:rFonts w:ascii="Aptos" w:eastAsia="Aptos" w:hAnsi="Aptos" w:cs="Aptos"/>
                              <w:noProof/>
                              <w:color w:val="000000"/>
                              <w:sz w:val="20"/>
                              <w:szCs w:val="20"/>
                            </w:rPr>
                          </w:pPr>
                          <w:r w:rsidRPr="007244D3">
                            <w:rPr>
                              <w:rFonts w:ascii="Aptos" w:eastAsia="Aptos" w:hAnsi="Aptos" w:cs="Aptos"/>
                              <w:noProof/>
                              <w:color w:val="000000"/>
                              <w:sz w:val="20"/>
                              <w:szCs w:val="20"/>
                            </w:rPr>
                            <w:t>Interno</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233EA27" id="_x0000_t202" coordsize="21600,21600" o:spt="202" path="m,l,21600r21600,l21600,xe">
              <v:stroke joinstyle="miter"/>
              <v:path gradientshapeok="t" o:connecttype="rect"/>
            </v:shapetype>
            <v:shape id="Cuadro de texto 1" o:spid="_x0000_s1030" type="#_x0000_t202" alt="Interno" style="position:absolute;margin-left:0;margin-top:0;width:51pt;height:27.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" filled="f" stroked="f">
              <v:textbox style="mso-fit-shape-to-text:t" inset="20pt,15pt,0,0">
                <w:txbxContent>
                  <w:p w14:paraId="28865364" w14:textId="4439F899" w:rsidR="007244D3" w:rsidRPr="007244D3" w:rsidRDefault="007244D3" w:rsidP="007244D3">
                    <w:pPr>
                      <w:rPr>
                        <w:rFonts w:ascii="Aptos" w:eastAsia="Aptos" w:hAnsi="Aptos" w:cs="Aptos"/>
                        <w:noProof/>
                        <w:color w:val="000000"/>
                        <w:sz w:val="20"/>
                        <w:szCs w:val="20"/>
                      </w:rPr>
                    </w:pPr>
                    <w:r w:rsidRPr="007244D3">
                      <w:rPr>
                        <w:rFonts w:ascii="Aptos" w:eastAsia="Aptos" w:hAnsi="Aptos" w:cs="Aptos"/>
                        <w:noProof/>
                        <w:color w:val="000000"/>
                        <w:sz w:val="20"/>
                        <w:szCs w:val="20"/>
                      </w:rPr>
                      <w:t>Interno</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376208"/>
    <w:multiLevelType w:val="hybridMultilevel"/>
    <w:tmpl w:val="22707F9E"/>
    <w:lvl w:ilvl="0" w:tplc="394A46EA">
      <w:start w:val="1"/>
      <w:numFmt w:val="bullet"/>
      <w:lvlText w:val="●"/>
      <w:lvlJc w:val="left"/>
      <w:pPr>
        <w:ind w:left="720" w:hanging="360"/>
      </w:pPr>
    </w:lvl>
    <w:lvl w:ilvl="1" w:tplc="0AC6B25E">
      <w:start w:val="1"/>
      <w:numFmt w:val="bullet"/>
      <w:lvlText w:val="○"/>
      <w:lvlJc w:val="left"/>
      <w:pPr>
        <w:ind w:left="1440" w:hanging="360"/>
      </w:pPr>
    </w:lvl>
    <w:lvl w:ilvl="2" w:tplc="6BC284E0">
      <w:start w:val="1"/>
      <w:numFmt w:val="bullet"/>
      <w:lvlText w:val="■"/>
      <w:lvlJc w:val="left"/>
      <w:pPr>
        <w:ind w:left="2160" w:hanging="360"/>
      </w:pPr>
    </w:lvl>
    <w:lvl w:ilvl="3" w:tplc="0D72427C">
      <w:start w:val="1"/>
      <w:numFmt w:val="bullet"/>
      <w:lvlText w:val="●"/>
      <w:lvlJc w:val="left"/>
      <w:pPr>
        <w:ind w:left="2880" w:hanging="360"/>
      </w:pPr>
    </w:lvl>
    <w:lvl w:ilvl="4" w:tplc="17B02D5A">
      <w:start w:val="1"/>
      <w:numFmt w:val="bullet"/>
      <w:lvlText w:val="○"/>
      <w:lvlJc w:val="left"/>
      <w:pPr>
        <w:ind w:left="3600" w:hanging="360"/>
      </w:pPr>
    </w:lvl>
    <w:lvl w:ilvl="5" w:tplc="4E32486E">
      <w:start w:val="1"/>
      <w:numFmt w:val="bullet"/>
      <w:lvlText w:val="■"/>
      <w:lvlJc w:val="left"/>
      <w:pPr>
        <w:ind w:left="4320" w:hanging="360"/>
      </w:pPr>
    </w:lvl>
    <w:lvl w:ilvl="6" w:tplc="FEE64CFC">
      <w:start w:val="1"/>
      <w:numFmt w:val="bullet"/>
      <w:lvlText w:val="●"/>
      <w:lvlJc w:val="left"/>
      <w:pPr>
        <w:ind w:left="5040" w:hanging="360"/>
      </w:pPr>
    </w:lvl>
    <w:lvl w:ilvl="7" w:tplc="D1E6EF30">
      <w:start w:val="1"/>
      <w:numFmt w:val="bullet"/>
      <w:lvlText w:val="●"/>
      <w:lvlJc w:val="left"/>
      <w:pPr>
        <w:ind w:left="5760" w:hanging="360"/>
      </w:pPr>
    </w:lvl>
    <w:lvl w:ilvl="8" w:tplc="C756A1CE">
      <w:start w:val="1"/>
      <w:numFmt w:val="bullet"/>
      <w:lvlText w:val="●"/>
      <w:lvlJc w:val="left"/>
      <w:pPr>
        <w:ind w:left="6480" w:hanging="360"/>
      </w:pPr>
    </w:lvl>
  </w:abstractNum>
  <w:num w:numId="1" w16cid:durableId="2596796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52D"/>
    <w:rsid w:val="00040E1C"/>
    <w:rsid w:val="00041EE4"/>
    <w:rsid w:val="002875BA"/>
    <w:rsid w:val="002D230F"/>
    <w:rsid w:val="002D79BE"/>
    <w:rsid w:val="003E1D48"/>
    <w:rsid w:val="00450A3F"/>
    <w:rsid w:val="004571DE"/>
    <w:rsid w:val="00490DA9"/>
    <w:rsid w:val="004E232D"/>
    <w:rsid w:val="00584D1A"/>
    <w:rsid w:val="005A44AA"/>
    <w:rsid w:val="005F2D4A"/>
    <w:rsid w:val="00675BC1"/>
    <w:rsid w:val="006969E7"/>
    <w:rsid w:val="0072331E"/>
    <w:rsid w:val="007244D3"/>
    <w:rsid w:val="00740B17"/>
    <w:rsid w:val="007551FE"/>
    <w:rsid w:val="00861584"/>
    <w:rsid w:val="008A2F24"/>
    <w:rsid w:val="008A46D6"/>
    <w:rsid w:val="0099152D"/>
    <w:rsid w:val="00A42E54"/>
    <w:rsid w:val="00A46204"/>
    <w:rsid w:val="00B20CDC"/>
    <w:rsid w:val="00C0485E"/>
    <w:rsid w:val="00DA6DB7"/>
    <w:rsid w:val="00E22028"/>
    <w:rsid w:val="00EC26F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5DE06"/>
  <w15:docId w15:val="{9DB05BB3-9957-4E41-8AE8-C83CA3984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2C2C2A"/>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244D3"/>
    <w:pPr>
      <w:tabs>
        <w:tab w:val="center" w:pos="4252"/>
        <w:tab w:val="right" w:pos="8504"/>
      </w:tabs>
    </w:pPr>
  </w:style>
  <w:style w:type="character" w:customStyle="1" w:styleId="EncabezadoCar">
    <w:name w:val="Encabezado Car"/>
    <w:basedOn w:val="Fuentedeprrafopredeter"/>
    <w:link w:val="Encabezado"/>
    <w:uiPriority w:val="99"/>
    <w:rsid w:val="007244D3"/>
  </w:style>
  <w:style w:type="paragraph" w:styleId="Piedepgina">
    <w:name w:val="footer"/>
    <w:basedOn w:val="Normal"/>
    <w:link w:val="PiedepginaCar"/>
    <w:uiPriority w:val="99"/>
    <w:unhideWhenUsed/>
    <w:rsid w:val="007244D3"/>
    <w:pPr>
      <w:tabs>
        <w:tab w:val="center" w:pos="4252"/>
        <w:tab w:val="right" w:pos="8504"/>
      </w:tabs>
    </w:pPr>
  </w:style>
  <w:style w:type="character" w:customStyle="1" w:styleId="PiedepginaCar">
    <w:name w:val="Pie de página Car"/>
    <w:basedOn w:val="Fuentedeprrafopredeter"/>
    <w:link w:val="Piedepgina"/>
    <w:uiPriority w:val="99"/>
    <w:rsid w:val="007244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8BB309973A6DE44A1BFE5432371160D" ma:contentTypeVersion="10" ma:contentTypeDescription="Crear nuevo documento." ma:contentTypeScope="" ma:versionID="b0825f9c35a7c3854605de53a3c7ae9f">
  <xsd:schema xmlns:xsd="http://www.w3.org/2001/XMLSchema" xmlns:xs="http://www.w3.org/2001/XMLSchema" xmlns:p="http://schemas.microsoft.com/office/2006/metadata/properties" xmlns:ns2="04193494-f6b7-4b38-ba18-ede97f73ccfd" targetNamespace="http://schemas.microsoft.com/office/2006/metadata/properties" ma:root="true" ma:fieldsID="3035e4646904acacf692b0a8489d90cc" ns2:_="">
    <xsd:import namespace="04193494-f6b7-4b38-ba18-ede97f73cc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193494-f6b7-4b38-ba18-ede97f73cc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c93ba224-6a42-47cf-994a-bd0f2c22a18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4193494-f6b7-4b38-ba18-ede97f73ccf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85BD5E6-42EF-434D-A835-797761649DF0}"/>
</file>

<file path=customXml/itemProps2.xml><?xml version="1.0" encoding="utf-8"?>
<ds:datastoreItem xmlns:ds="http://schemas.openxmlformats.org/officeDocument/2006/customXml" ds:itemID="{1B9C7D9F-4BF0-4455-94BE-183943FE4818}"/>
</file>

<file path=customXml/itemProps3.xml><?xml version="1.0" encoding="utf-8"?>
<ds:datastoreItem xmlns:ds="http://schemas.openxmlformats.org/officeDocument/2006/customXml" ds:itemID="{EA740DAC-5840-4038-A59B-726ED2F240BB}"/>
</file>

<file path=docMetadata/LabelInfo.xml><?xml version="1.0" encoding="utf-8"?>
<clbl:labelList xmlns:clbl="http://schemas.microsoft.com/office/2020/mipLabelMetadata">
  <clbl:label id="{83661b87-7810-4813-8bd9-dd2ee6a65052}" enabled="1" method="Standard" siteId="{223943b3-0f38-442c-90e3-00f9c3b6b43b}" contentBits="3" removed="0"/>
</clbl:labelList>
</file>

<file path=docProps/app.xml><?xml version="1.0" encoding="utf-8"?>
<Properties xmlns="http://schemas.openxmlformats.org/officeDocument/2006/extended-properties" xmlns:vt="http://schemas.openxmlformats.org/officeDocument/2006/docPropsVTypes">
  <Template>Normal.dotm</Template>
  <TotalTime>36</TotalTime>
  <Pages>6</Pages>
  <Words>2354</Words>
  <Characters>12102</Characters>
  <Application>Microsoft Office Word</Application>
  <DocSecurity>0</DocSecurity>
  <Lines>242</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GARCIA SAN LUIS</cp:lastModifiedBy>
  <cp:revision>21</cp:revision>
  <dcterms:created xsi:type="dcterms:W3CDTF">2026-05-28T21:03:00Z</dcterms:created>
  <dcterms:modified xsi:type="dcterms:W3CDTF">2026-06-01T08:30:00Z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31fc57d2,7ee32919,4db68e79</vt:lpwstr>
  </property>
  <property fmtid="{D5CDD505-2E9C-101B-9397-08002B2CF9AE}" pid="3" name="ClassificationContentMarkingHeaderFontProps">
    <vt:lpwstr>#000000,10,Aptos</vt:lpwstr>
  </property>
  <property fmtid="{D5CDD505-2E9C-101B-9397-08002B2CF9AE}" pid="4" name="ClassificationContentMarkingHeaderText">
    <vt:lpwstr>Interno</vt:lpwstr>
  </property>
  <property fmtid="{D5CDD505-2E9C-101B-9397-08002B2CF9AE}" pid="5" name="ClassificationContentMarkingFooterShapeIds">
    <vt:lpwstr>5aca6693,6550465a,cbf3518</vt:lpwstr>
  </property>
  <property fmtid="{D5CDD505-2E9C-101B-9397-08002B2CF9AE}" pid="6" name="ClassificationContentMarkingFooterFontProps">
    <vt:lpwstr>#000000,8,Aptos</vt:lpwstr>
  </property>
  <property fmtid="{D5CDD505-2E9C-101B-9397-08002B2CF9AE}" pid="7" name="ClassificationContentMarkingFooterText">
    <vt:lpwstr>Uso Interno - No compartir fuera de la organización.</vt:lpwstr>
  </property>
  <property fmtid="{D5CDD505-2E9C-101B-9397-08002B2CF9AE}" pid="8" name="ContentTypeId">
    <vt:lpwstr>0x010100C8BB309973A6DE44A1BFE5432371160D</vt:lpwstr>
  </property>
  <property fmtid="{D5CDD505-2E9C-101B-9397-08002B2CF9AE}" pid="10" name="docLang">
    <vt:lpwstr>es</vt:lpwstr>
  </property>
  <property fmtid="{D5CDD505-2E9C-101B-9397-08002B2CF9AE}" pid="11" name="MediaServiceImageTags">
    <vt:lpwstr/>
  </property>
</Properties>
</file>