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53D6" w:rsidRDefault="00000000" w14:paraId="75C739A4" w14:textId="77777777">
      <w:pPr>
        <w:spacing w:after="60"/>
      </w:pPr>
      <w:r>
        <w:rPr>
          <w:rFonts w:ascii="Arial" w:hAnsi="Arial" w:cs="Arial"/>
          <w:color w:val="888888"/>
          <w:sz w:val="16"/>
          <w:szCs w:val="16"/>
        </w:rPr>
        <w:t>PARA USO INTERNO · CONFIDENCIAL · PRESS RELEASE</w:t>
      </w:r>
    </w:p>
    <w:p w:rsidR="001953D6" w:rsidRDefault="00000000" w14:paraId="76FB4016" w14:textId="77777777">
      <w:pPr>
        <w:spacing w:after="120"/>
      </w:pPr>
      <w:r>
        <w:rPr>
          <w:rFonts w:ascii="Arial" w:hAnsi="Arial" w:cs="Arial"/>
          <w:color w:val="555555"/>
          <w:sz w:val="18"/>
          <w:szCs w:val="18"/>
        </w:rPr>
        <w:t>Línea Directa Aseguradora · Siniestros Motor · 2026</w:t>
      </w:r>
    </w:p>
    <w:p w:rsidR="001953D6" w:rsidRDefault="00000000" w14:paraId="1FD68168" w14:textId="77777777">
      <w:pPr>
        <w:spacing w:after="160"/>
      </w:pPr>
      <w:r>
        <w:rPr>
          <w:rFonts w:ascii="Arial" w:hAnsi="Arial" w:cs="Arial"/>
          <w:b/>
          <w:sz w:val="38"/>
          <w:szCs w:val="38"/>
        </w:rPr>
        <w:t>Línea Directa ofrece el mejor servicio de siniestros del mercado tras transformar su operación de motor: más de 400.000 siniestros al año gestionados con más rapidez, más transparencia y más precisión</w:t>
      </w:r>
    </w:p>
    <w:p w:rsidR="001953D6" w:rsidRDefault="00000000" w14:paraId="032F3E8A" w14:textId="77777777">
      <w:pPr>
        <w:spacing w:after="200"/>
      </w:pPr>
      <w:r>
        <w:rPr>
          <w:i/>
          <w:color w:val="555555"/>
          <w:sz w:val="24"/>
          <w:szCs w:val="24"/>
        </w:rPr>
        <w:t>El cliente que tiene un siniestro de motor con Línea Directa ahora sabe lo que va a pasar, cuándo va a pasar y no tiene que llamar para averiguarlo. Por primera vez, la rapidez y la transparencia no son una promesa: son el estándar.</w:t>
      </w:r>
    </w:p>
    <w:p w:rsidR="001953D6" w:rsidRDefault="001953D6" w14:paraId="467ED9BF" w14:textId="77777777">
      <w:pPr>
        <w:pBdr>
          <w:bottom w:val="single" w:color="D3D1C7" w:sz="1" w:space="1"/>
        </w:pBdr>
        <w:spacing w:after="200"/>
      </w:pPr>
    </w:p>
    <w:p w:rsidR="001953D6" w:rsidRDefault="00000000" w14:paraId="0B745546" w14:textId="77777777">
      <w:pPr>
        <w:spacing w:after="200"/>
      </w:pPr>
      <w:r>
        <w:rPr>
          <w:rFonts w:ascii="Arial" w:hAnsi="Arial" w:cs="Arial"/>
          <w:color w:val="888888"/>
          <w:sz w:val="18"/>
          <w:szCs w:val="18"/>
        </w:rPr>
        <w:t>Madrid, 2026 — Para distribución interna inmediata</w:t>
      </w:r>
    </w:p>
    <w:p w:rsidR="001953D6" w:rsidRDefault="00000000" w14:paraId="08F82398" w14:textId="77777777">
      <w:pPr>
        <w:spacing w:after="180"/>
        <w:jc w:val="both"/>
      </w:pPr>
      <w:r>
        <w:t>Línea Directa ha completado la transformación de su operación de siniestros motor, el proyecto más ambicioso de su historia en el área que da servicio a más de 400.000 clientes al año cuando más lo necesitan. El resultado es un modelo de gestión que convierte a la compañía en referencia del sector: cada siniestro se gestiona desde el primer momento por el circuito que le corresponde, el cliente recibe información antes de tener que pedirla, y los tiempos de resolución han caído de forma sostenida.</w:t>
      </w:r>
    </w:p>
    <w:p w:rsidR="001953D6" w:rsidRDefault="00000000" w14:paraId="327A246F" w14:textId="77777777">
      <w:pPr>
        <w:spacing w:after="180"/>
        <w:jc w:val="both"/>
      </w:pPr>
      <w:r>
        <w:t>Hasta ahora, cuando un cliente abría un parte de motor entraba en un proceso que él no podía ver. No sabía si su expediente estaba avanzando, quién lo llevaba, cuándo vendría el perito ni cuánto tardaría en resolverse. En los momentos de mayor espera, la única opción era llamar. Y muchas veces, quien respondía tampoco tenía la respuesta porque la información vivía en sistemas distintos que no se comunicaban. Ese modelo ha cambiado.</w:t>
      </w:r>
    </w:p>
    <w:p w:rsidR="001953D6" w:rsidRDefault="00000000" w14:paraId="12D4823B" w14:textId="77777777">
      <w:pPr>
        <w:spacing w:after="200"/>
        <w:jc w:val="both"/>
      </w:pPr>
      <w:r>
        <w:t>El nuevo modelo de gestión de siniestros motor clasifica automáticamente cada expediente desde el momento de la apertura: los siniestros sencillos se resuelven por una vía ágil con intervención mínima; los de complejidad media cuentan con el apoyo de herramientas que asisten al tramitador en tiempo real; y los complejos —lesiones graves, fraude, disputas con terceros— van directamente al especialista con toda la información ya organizada. El cliente no espera mientras el expediente busca quién lo gestione: llega al lugar correcto desde el primer segundo.</w:t>
      </w:r>
    </w:p>
    <w:tbl>
      <w:tblPr>
        <w:tblW w:w="9026" w:type="dxa"/>
        <w:tblCellMar>
          <w:left w:w="10" w:type="dxa"/>
          <w:right w:w="10" w:type="dxa"/>
        </w:tblCellMar>
        <w:tblLook w:val="04A0" w:firstRow="1" w:lastRow="0" w:firstColumn="1" w:lastColumn="0" w:noHBand="0" w:noVBand="1"/>
      </w:tblPr>
      <w:tblGrid>
        <w:gridCol w:w="9026"/>
      </w:tblGrid>
      <w:tr w:rsidR="001953D6" w14:paraId="2A2096C8" w14:textId="77777777">
        <w:tblPrEx>
          <w:tblCellMar>
            <w:top w:w="0" w:type="dxa"/>
            <w:bottom w:w="0" w:type="dxa"/>
          </w:tblCellMar>
        </w:tblPrEx>
        <w:tc>
          <w:tcPr>
            <w:tcW w:w="9026" w:type="dxa"/>
            <w:tcBorders>
              <w:left w:val="single" w:color="B4B2A9" w:sz="18" w:space="0"/>
            </w:tcBorders>
            <w:shd w:val="clear" w:color="auto" w:fill="F8F7F4"/>
            <w:tcMar>
              <w:top w:w="160" w:type="dxa"/>
              <w:left w:w="280" w:type="dxa"/>
              <w:bottom w:w="120" w:type="dxa"/>
              <w:right w:w="200" w:type="dxa"/>
            </w:tcMar>
          </w:tcPr>
          <w:p w:rsidR="001953D6" w:rsidRDefault="00000000" w14:paraId="7D94C4FB" w14:textId="77777777">
            <w:pPr>
              <w:spacing w:after="60"/>
              <w:jc w:val="both"/>
            </w:pPr>
            <w:r>
              <w:rPr>
                <w:i/>
                <w:color w:val="555555"/>
                <w:sz w:val="21"/>
                <w:szCs w:val="21"/>
              </w:rPr>
              <w:t>“Motor es el ramo donde más nos jugamos con el cliente. Cuando tienes un siniestro, la aseguradora o te genera confianza o te genera dudas. Con esta transformación, hemos construido la operación para generar confianza siempre: resolviendo rápido, informando con claridad y garantizando que ningún expediente se queda sin avanzar.”</w:t>
            </w:r>
          </w:p>
          <w:p w:rsidR="001953D6" w:rsidRDefault="00000000" w14:paraId="4F55D030" w14:textId="77777777">
            <w:pPr>
              <w:spacing w:before="60"/>
            </w:pPr>
            <w:r>
              <w:rPr>
                <w:rFonts w:ascii="Arial" w:hAnsi="Arial" w:cs="Arial"/>
                <w:color w:val="888888"/>
                <w:sz w:val="17"/>
                <w:szCs w:val="17"/>
              </w:rPr>
              <w:t>— Directora de Servicios y Prestaciones, Línea Directa Aseguradora</w:t>
            </w:r>
          </w:p>
        </w:tc>
      </w:tr>
    </w:tbl>
    <w:p w:rsidR="001953D6" w:rsidRDefault="001953D6" w14:paraId="3F454C3A" w14:textId="77777777">
      <w:pPr>
        <w:spacing w:before="200"/>
      </w:pPr>
    </w:p>
    <w:p w:rsidR="001953D6" w:rsidRDefault="00000000" w14:paraId="608A112E" w14:textId="77777777">
      <w:pPr>
        <w:spacing w:after="180"/>
        <w:jc w:val="both"/>
      </w:pPr>
      <w:r>
        <w:t>La transparencia es el segundo pilar del nuevo modelo. Los agentes que atienden al cliente tienen ahora en pantalla el estado del expediente en tiempo real: en qué fase está, qué perito tiene asignado, cuándo se prevé la resolución. Ya no hay llamadas en las que nadie sabe qué responder porque la información está en otro sistema. El cliente que llama para preguntar cómo va su siniestro recibe una respuesta concreta, no una promesa de devolverle la llamada.</w:t>
      </w:r>
    </w:p>
    <w:p w:rsidR="004459D6" w:rsidRDefault="00000000" w14:paraId="6A2625CF" w14:textId="5AD04373">
      <w:pPr>
        <w:spacing w:after="200"/>
        <w:jc w:val="both"/>
      </w:pPr>
      <w:r>
        <w:t xml:space="preserve">La precisión es el tercero. Los documentos que llegan al expediente —el parte, el informe pericial, el presupuesto del taller, el informe médico— se analizan automáticamente para </w:t>
      </w:r>
      <w:r>
        <w:t>extraer lo que importa. El sistema identifica qué información es relevante, qué pasos hay que dar a continuación y alerta cuando algo indica que el siniestro no está avanzando como debería. Los tramitadores dejan de leer documentos enteros para encontrar un dato: el sistema les lleva directamente a lo que necesitan. Y cuando algo se desviar del umbral normal, la alerta llega antes de que el problema afecte al cliente.</w:t>
      </w:r>
    </w:p>
    <w:p w:rsidR="004459D6" w:rsidP="004459D6" w:rsidRDefault="004459D6" w14:paraId="1C44DFD0" w14:textId="2337CC0B">
      <w:r w:rsidRPr="004459D6">
        <w:t xml:space="preserve">La iniciativa nace en un contexto de fuerte presión estructural sobre la rentabilidad del ramo, impulsada por el aumento de costes de reparación, la creciente complejidad de los vehículos, el incremento de la litigiosidad y una mayor exigencia del cliente en términos de rapidez y transparencia. </w:t>
      </w:r>
    </w:p>
    <w:p w:rsidR="004459D6" w:rsidP="004459D6" w:rsidRDefault="004459D6" w14:paraId="1E6C23D2" w14:textId="77777777"/>
    <w:p w:rsidR="001953D6" w:rsidRDefault="00000000" w14:paraId="4A1A2A86" w14:textId="77777777">
      <w:pPr>
        <w:spacing w:after="240"/>
        <w:jc w:val="both"/>
      </w:pPr>
      <w:r>
        <w:t>El impacto de esta transformación va más allá del servicio. Motor concentra más de 600 millones de euros de coste anual. Una gestión más eficiente —menos reprocesos, mejor uso de la red de talleres, detección temprana del fraude, control del coste en lesiones— reduce directamente ese coste técnico. Y en un modelo de negocio directo como el de Línea Directa, el coste técnico más bajo es parte de lo que permite ofrecer los mejores precios del mercado. La excelencia en el servicio y la competitividad en precio no se contradicen: aquí van de la mano.</w:t>
      </w:r>
    </w:p>
    <w:p w:rsidR="001953D6" w:rsidRDefault="001953D6" w14:paraId="68DE2B59" w14:textId="77777777">
      <w:pPr>
        <w:pBdr>
          <w:bottom w:val="single" w:color="D3D1C7" w:sz="1" w:space="1"/>
        </w:pBdr>
        <w:spacing w:after="200"/>
      </w:pPr>
    </w:p>
    <w:p w:rsidR="001953D6" w:rsidRDefault="00000000" w14:paraId="2E31D8EA" w14:textId="77777777">
      <w:pPr>
        <w:spacing w:after="200"/>
      </w:pPr>
      <w:r>
        <w:rPr>
          <w:rFonts w:ascii="Arial" w:hAnsi="Arial" w:cs="Arial"/>
          <w:color w:val="888888"/>
          <w:sz w:val="16"/>
          <w:szCs w:val="16"/>
        </w:rPr>
        <w:t>PREGUNTAS Y RESPUESTAS INTERNAS</w:t>
      </w:r>
    </w:p>
    <w:p w:rsidR="001953D6" w:rsidRDefault="00000000" w14:paraId="495B4BD8" w14:textId="77777777">
      <w:pPr>
        <w:spacing w:before="200" w:after="80"/>
      </w:pPr>
      <w:r>
        <w:rPr>
          <w:rFonts w:ascii="Arial" w:hAnsi="Arial" w:cs="Arial"/>
          <w:b/>
        </w:rPr>
        <w:t>¿Qué es lo que más nota el cliente?</w:t>
      </w:r>
    </w:p>
    <w:p w:rsidR="001953D6" w:rsidRDefault="00000000" w14:paraId="4E797835" w14:textId="77777777">
      <w:pPr>
        <w:spacing w:after="60"/>
        <w:jc w:val="both"/>
      </w:pPr>
      <w:r>
        <w:rPr>
          <w:color w:val="555555"/>
          <w:sz w:val="21"/>
          <w:szCs w:val="21"/>
        </w:rPr>
        <w:t>Tres cosas. La primera, que su siniestro avanza sin que tenga que empujarlo: no hay expedientes parados esperando que alguien los retome, no hay silencios de días sin noticias. La segunda, que cuando llama para preguntar, quien le atiende sabe la respuesta en ese momento porque tiene el estado del expediente delante. La tercera, que los tiempos totales de resolución han bajado de forma consistente, especialmente en los siniestros de menor complejidad, que ahora se cierran mucho más rápido.</w:t>
      </w:r>
    </w:p>
    <w:p w:rsidR="001953D6" w:rsidRDefault="00000000" w14:paraId="250561D2" w14:textId="77777777">
      <w:pPr>
        <w:spacing w:before="200" w:after="80"/>
      </w:pPr>
      <w:r>
        <w:rPr>
          <w:rFonts w:ascii="Arial" w:hAnsi="Arial" w:cs="Arial"/>
          <w:b/>
        </w:rPr>
        <w:t>¿Cómo funciona la clasificación automática desde la apertura?</w:t>
      </w:r>
    </w:p>
    <w:p w:rsidR="001953D6" w:rsidRDefault="00000000" w14:paraId="5A868396" w14:textId="77777777">
      <w:pPr>
        <w:spacing w:after="60"/>
        <w:jc w:val="both"/>
      </w:pPr>
      <w:r>
        <w:rPr>
          <w:color w:val="555555"/>
          <w:sz w:val="21"/>
          <w:szCs w:val="21"/>
        </w:rPr>
        <w:t>Desde el momento en que se abre el parte, el sistema analiza la información disponible —tipo de siniestro, descripción de los daños, histórico del cliente, indicios de complejidad— y lo asigna al circuito que le corresponde. Los siniestros sencillos entran en un flujo ágil donde gran parte de la tramitación es automática. Los de complejidad media van a un tramitador con el apoyo del sistema para acelerar las decisiones. Los complejos —lesiones, fraude, disputas— van directamente al especialista con toda la información ya organizada. El objetivo es que ningún expediente pierda tiempo buscando el circuito correcto.</w:t>
      </w:r>
    </w:p>
    <w:p w:rsidR="001953D6" w:rsidRDefault="00000000" w14:paraId="75730A93" w14:textId="77777777">
      <w:pPr>
        <w:spacing w:before="200" w:after="80"/>
      </w:pPr>
      <w:r>
        <w:rPr>
          <w:rFonts w:ascii="Arial" w:hAnsi="Arial" w:cs="Arial"/>
          <w:b/>
        </w:rPr>
        <w:t>¿Qué ha cambiado para los tramitadores?</w:t>
      </w:r>
    </w:p>
    <w:p w:rsidR="001953D6" w:rsidRDefault="00000000" w14:paraId="5969979F" w14:textId="77777777">
      <w:pPr>
        <w:spacing w:after="60"/>
        <w:jc w:val="both"/>
      </w:pPr>
      <w:r>
        <w:rPr>
          <w:color w:val="555555"/>
          <w:sz w:val="21"/>
          <w:szCs w:val="21"/>
        </w:rPr>
        <w:t>Su trabajo se ha concentrado donde más valor tienen. Las tareas que antes consumían gran parte de su jornada —revisar listados para saber qué es urgente, actualizar reservas manualmente, leer documentos enteros para encontrar un dato— las hace ahora el sistema. El tramitador llega al inicio de su jornada con una cola de trabajo ya priorizada, con los documentos ya analizados y con el siguiente paso sugerido para cada expediente. Más tiempo para lo que realmente importa: resolver el problema del cliente, negociar con el taller, gestionar los casos que requieren experiencia.</w:t>
      </w:r>
    </w:p>
    <w:p w:rsidR="001953D6" w:rsidRDefault="00000000" w14:paraId="42EA9018" w14:textId="77777777">
      <w:pPr>
        <w:spacing w:before="200" w:after="80"/>
      </w:pPr>
      <w:r>
        <w:rPr>
          <w:rFonts w:ascii="Arial" w:hAnsi="Arial" w:cs="Arial"/>
          <w:b/>
        </w:rPr>
        <w:t>¿Cómo se detecta el fraude?</w:t>
      </w:r>
    </w:p>
    <w:p w:rsidR="001953D6" w:rsidRDefault="00000000" w14:paraId="3BA6C0AF" w14:textId="77777777">
      <w:pPr>
        <w:spacing w:after="60"/>
        <w:jc w:val="both"/>
      </w:pPr>
      <w:r>
        <w:rPr>
          <w:color w:val="555555"/>
          <w:sz w:val="21"/>
          <w:szCs w:val="21"/>
        </w:rPr>
        <w:t>Los modelos de detección actúan desde las primeras fases del siniestro, antes de que se tome ninguna decisión de pago. El sistema analiza patrones en la información del parte, del histórico del cliente, de los daños declarados y de los documentos aportados, y genera alertas cuando detecta indicios. Esas alertas llegan al especialista con el contexto necesario para investigar. La detección temprana es la que tiene impacto real: una vez pagado, el coste ya está hecho.</w:t>
      </w:r>
    </w:p>
    <w:p w:rsidR="001953D6" w:rsidRDefault="00000000" w14:paraId="073ADCDC" w14:textId="77777777">
      <w:pPr>
        <w:spacing w:before="200" w:after="80"/>
      </w:pPr>
      <w:r>
        <w:rPr>
          <w:rFonts w:ascii="Arial" w:hAnsi="Arial" w:cs="Arial"/>
          <w:b/>
        </w:rPr>
        <w:t>¿Por qué este proyecto afecta también al precio?</w:t>
      </w:r>
    </w:p>
    <w:p w:rsidR="001953D6" w:rsidP="00E75735" w:rsidRDefault="00000000" w14:paraId="05D7EB54" w14:textId="169E64F9">
      <w:pPr>
        <w:spacing w:after="60"/>
        <w:jc w:val="both"/>
      </w:pPr>
      <w:r>
        <w:rPr>
          <w:color w:val="555555"/>
          <w:sz w:val="21"/>
          <w:szCs w:val="21"/>
        </w:rPr>
        <w:t>Motor concentra más de 600 millones de euros de coste técnico anual. Cada mejora en la eficiencia de la gestión —menos reprocesos, mejor control de los presupuestos de reparación, menos fugas por una mala clasificación inicial, mejores acuerdos en los convenios con otras aseguradoras— reduce ese coste. Y en el modelo directo de Línea Directa, la reducción del coste técnico es lo que permite mantener los precios más competitivos del mercado. La excelencia operativa es la base del modelo de negocio, no un objetivo paralelo.</w:t>
      </w:r>
    </w:p>
    <w:p w:rsidR="001953D6" w:rsidRDefault="00000000" w14:paraId="476BA64B" w14:textId="77777777">
      <w:pPr>
        <w:spacing w:before="200" w:after="100"/>
      </w:pPr>
      <w:r>
        <w:rPr>
          <w:rFonts w:ascii="Arial" w:hAnsi="Arial" w:cs="Arial"/>
          <w:b/>
          <w:color w:val="888888"/>
          <w:sz w:val="16"/>
          <w:szCs w:val="16"/>
        </w:rPr>
        <w:t>INDICADORES DE ÉXITO</w:t>
      </w:r>
    </w:p>
    <w:p w:rsidR="001953D6" w:rsidRDefault="00000000" w14:paraId="07D76E9B" w14:textId="77777777">
      <w:pPr>
        <w:spacing w:after="120"/>
      </w:pPr>
      <w:r>
        <w:rPr>
          <w:rFonts w:ascii="Arial" w:hAnsi="Arial" w:cs="Arial"/>
          <w:b/>
          <w:sz w:val="30"/>
          <w:szCs w:val="30"/>
        </w:rPr>
        <w:t>Cómo se mide que el nuevo modelo funciona</w:t>
      </w:r>
    </w:p>
    <w:p w:rsidR="001953D6" w:rsidRDefault="00000000" w14:paraId="6EBADE3D" w14:textId="77777777">
      <w:pPr>
        <w:spacing w:after="280"/>
        <w:jc w:val="both"/>
      </w:pPr>
      <w:r>
        <w:rPr>
          <w:i/>
          <w:iCs/>
          <w:color w:val="555555"/>
        </w:rPr>
        <w:t>El modelo incluye indicadores para cada fase del ciclo del siniestro, con umbrales de control automáticos. No solo para medir el éxito al final: para identificar problemas antes de que afecten al cliente o a la cuenta.</w:t>
      </w:r>
    </w:p>
    <w:tbl>
      <w:tblPr>
        <w:tblW w:w="9026" w:type="dxa"/>
        <w:tblCellMar>
          <w:left w:w="10" w:type="dxa"/>
          <w:right w:w="10" w:type="dxa"/>
        </w:tblCellMar>
        <w:tblLook w:val="04A0" w:firstRow="1" w:lastRow="0" w:firstColumn="1" w:lastColumn="0" w:noHBand="0" w:noVBand="1"/>
      </w:tblPr>
      <w:tblGrid>
        <w:gridCol w:w="1400"/>
        <w:gridCol w:w="4226"/>
        <w:gridCol w:w="3400"/>
      </w:tblGrid>
      <w:tr w:rsidR="001953D6" w14:paraId="03AFE37E" w14:textId="77777777">
        <w:tblPrEx>
          <w:tblCellMar>
            <w:top w:w="0" w:type="dxa"/>
            <w:bottom w:w="0" w:type="dxa"/>
          </w:tblCellMar>
        </w:tblPrEx>
        <w:trPr>
          <w:tblHeader/>
        </w:trPr>
        <w:tc>
          <w:tcPr>
            <w:tcW w:w="1400" w:type="dxa"/>
            <w:shd w:val="clear" w:color="auto" w:fill="2C2C2A"/>
            <w:tcMar>
              <w:top w:w="80" w:type="dxa"/>
              <w:left w:w="140" w:type="dxa"/>
              <w:bottom w:w="80" w:type="dxa"/>
              <w:right w:w="100" w:type="dxa"/>
            </w:tcMar>
          </w:tcPr>
          <w:p w:rsidR="001953D6" w:rsidRDefault="00000000" w14:paraId="11ECB144" w14:textId="77777777">
            <w:pPr>
              <w:spacing w:before="80" w:after="80"/>
              <w:jc w:val="both"/>
            </w:pPr>
            <w:r>
              <w:rPr>
                <w:rFonts w:ascii="Arial" w:hAnsi="Arial" w:cs="Arial"/>
                <w:b/>
                <w:color w:val="FFFFFF"/>
                <w:sz w:val="18"/>
                <w:szCs w:val="18"/>
              </w:rPr>
              <w:t>Tipo</w:t>
            </w:r>
          </w:p>
        </w:tc>
        <w:tc>
          <w:tcPr>
            <w:tcW w:w="4226" w:type="dxa"/>
            <w:shd w:val="clear" w:color="auto" w:fill="2C2C2A"/>
            <w:tcMar>
              <w:top w:w="80" w:type="dxa"/>
              <w:left w:w="140" w:type="dxa"/>
              <w:bottom w:w="80" w:type="dxa"/>
              <w:right w:w="100" w:type="dxa"/>
            </w:tcMar>
          </w:tcPr>
          <w:p w:rsidR="001953D6" w:rsidRDefault="00000000" w14:paraId="40592EC8" w14:textId="77777777">
            <w:pPr>
              <w:spacing w:before="80" w:after="80"/>
              <w:jc w:val="both"/>
            </w:pPr>
            <w:r>
              <w:rPr>
                <w:rFonts w:ascii="Arial" w:hAnsi="Arial" w:cs="Arial"/>
                <w:b/>
                <w:color w:val="FFFFFF"/>
                <w:sz w:val="18"/>
                <w:szCs w:val="18"/>
              </w:rPr>
              <w:t>KPI</w:t>
            </w:r>
          </w:p>
        </w:tc>
        <w:tc>
          <w:tcPr>
            <w:tcW w:w="3400" w:type="dxa"/>
            <w:shd w:val="clear" w:color="auto" w:fill="2C2C2A"/>
            <w:tcMar>
              <w:top w:w="80" w:type="dxa"/>
              <w:left w:w="140" w:type="dxa"/>
              <w:bottom w:w="80" w:type="dxa"/>
              <w:right w:w="100" w:type="dxa"/>
            </w:tcMar>
          </w:tcPr>
          <w:p w:rsidR="001953D6" w:rsidRDefault="00000000" w14:paraId="38648786" w14:textId="77777777">
            <w:pPr>
              <w:spacing w:before="80" w:after="80"/>
              <w:jc w:val="both"/>
            </w:pPr>
            <w:r>
              <w:rPr>
                <w:rFonts w:ascii="Arial" w:hAnsi="Arial" w:cs="Arial"/>
                <w:b/>
                <w:color w:val="FFFFFF"/>
                <w:sz w:val="18"/>
                <w:szCs w:val="18"/>
              </w:rPr>
              <w:t>Descripción / objetivo</w:t>
            </w:r>
          </w:p>
        </w:tc>
      </w:tr>
      <w:tr w:rsidR="00E75735" w:rsidTr="00995F3D" w14:paraId="3ECC30CC" w14:textId="77777777">
        <w:tblPrEx>
          <w:tblCellMar>
            <w:top w:w="0" w:type="dxa"/>
            <w:bottom w:w="0" w:type="dxa"/>
          </w:tblCellMar>
        </w:tblPrEx>
        <w:tc>
          <w:tcPr>
            <w:tcW w:w="1400" w:type="dxa"/>
            <w:vMerge w:val="restart"/>
            <w:tcBorders>
              <w:top w:val="single" w:color="E0DED8" w:sz="4" w:space="0"/>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DB71B03" w14:textId="77777777">
            <w:pPr>
              <w:spacing w:before="80" w:after="80"/>
              <w:jc w:val="both"/>
            </w:pPr>
            <w:r>
              <w:rPr>
                <w:rFonts w:ascii="Arial" w:hAnsi="Arial" w:cs="Arial"/>
                <w:b/>
                <w:sz w:val="18"/>
                <w:szCs w:val="18"/>
              </w:rPr>
              <w:t>Control económico y técnico</w:t>
            </w: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4940B72" w14:textId="77777777">
            <w:pPr>
              <w:spacing w:before="80" w:after="80"/>
              <w:jc w:val="both"/>
            </w:pPr>
            <w:r>
              <w:rPr>
                <w:b/>
                <w:sz w:val="18"/>
                <w:szCs w:val="18"/>
              </w:rPr>
              <w:t>Coste medio total por siniestro</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7E87E795" w14:textId="77777777">
            <w:pPr>
              <w:spacing w:before="80" w:after="80"/>
              <w:jc w:val="both"/>
            </w:pPr>
            <w:r>
              <w:rPr>
                <w:sz w:val="18"/>
                <w:szCs w:val="18"/>
              </w:rPr>
              <w:t>Reducción sostenible del coste técnico</w:t>
            </w:r>
          </w:p>
        </w:tc>
      </w:tr>
      <w:tr w:rsidR="00E75735" w:rsidTr="00995F3D" w14:paraId="1D1850B6"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3A78CAB7"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4705A8B2" w14:textId="77777777">
            <w:pPr>
              <w:spacing w:before="80" w:after="80"/>
              <w:jc w:val="both"/>
            </w:pPr>
            <w:r>
              <w:rPr>
                <w:sz w:val="18"/>
                <w:szCs w:val="18"/>
              </w:rPr>
              <w:t>Coste medio de reparación por tipología de siniestro/reparación</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3F2582D1" w14:textId="77777777">
            <w:pPr>
              <w:spacing w:before="80" w:after="80"/>
              <w:jc w:val="both"/>
            </w:pPr>
            <w:r>
              <w:rPr>
                <w:sz w:val="18"/>
                <w:szCs w:val="18"/>
              </w:rPr>
              <w:t>Control de coste por tipo (RAs, TC, TNC)</w:t>
            </w:r>
          </w:p>
        </w:tc>
      </w:tr>
      <w:tr w:rsidR="00E75735" w:rsidTr="00995F3D" w14:paraId="6624D906"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8DD2637"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670FEC7C" w14:textId="77777777">
            <w:pPr>
              <w:spacing w:before="80" w:after="80"/>
              <w:jc w:val="both"/>
            </w:pPr>
            <w:r>
              <w:rPr>
                <w:sz w:val="18"/>
                <w:szCs w:val="18"/>
              </w:rPr>
              <w:t>Coste medio por lesionado y tipología</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68F04F73" w14:textId="77777777">
            <w:pPr>
              <w:spacing w:before="80" w:after="80"/>
              <w:jc w:val="both"/>
            </w:pPr>
            <w:r>
              <w:rPr>
                <w:sz w:val="18"/>
                <w:szCs w:val="18"/>
              </w:rPr>
              <w:t>Control del coste corporal</w:t>
            </w:r>
          </w:p>
        </w:tc>
      </w:tr>
      <w:tr w:rsidR="00E75735" w:rsidTr="00995F3D" w14:paraId="2F6BE780"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2EA6AAC0"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4AF14CFC" w14:textId="77777777">
            <w:pPr>
              <w:spacing w:before="80" w:after="80"/>
              <w:jc w:val="both"/>
            </w:pPr>
            <w:r>
              <w:rPr>
                <w:sz w:val="18"/>
                <w:szCs w:val="18"/>
              </w:rPr>
              <w:t>Desviación entre provisión inicial y coste final.</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26233318" w14:textId="77777777">
            <w:pPr>
              <w:spacing w:before="80" w:after="80"/>
              <w:jc w:val="both"/>
            </w:pPr>
            <w:r>
              <w:rPr>
                <w:sz w:val="18"/>
                <w:szCs w:val="18"/>
              </w:rPr>
              <w:t>Adecuada valoración del siniestro</w:t>
            </w:r>
          </w:p>
        </w:tc>
      </w:tr>
      <w:tr w:rsidR="00E75735" w:rsidTr="00995F3D" w14:paraId="6CD8D597"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599CF3CA"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75416180" w14:textId="77777777">
            <w:pPr>
              <w:spacing w:before="80" w:after="80"/>
              <w:jc w:val="both"/>
            </w:pPr>
            <w:r>
              <w:rPr>
                <w:sz w:val="18"/>
                <w:szCs w:val="18"/>
              </w:rPr>
              <w:t>Desviación entre primer ajuste del perito y coste final.</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68465286" w14:textId="77777777">
            <w:pPr>
              <w:spacing w:before="80" w:after="80"/>
              <w:jc w:val="both"/>
            </w:pPr>
            <w:r>
              <w:rPr>
                <w:sz w:val="18"/>
                <w:szCs w:val="18"/>
              </w:rPr>
              <w:t>Adecuada valoración del siniestro</w:t>
            </w:r>
          </w:p>
        </w:tc>
      </w:tr>
      <w:tr w:rsidR="00E75735" w:rsidTr="00995F3D" w14:paraId="62F3B53B"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5586E5CF"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332B1C07" w14:textId="77777777">
            <w:pPr>
              <w:spacing w:before="80" w:after="80"/>
              <w:jc w:val="both"/>
            </w:pPr>
            <w:r>
              <w:rPr>
                <w:sz w:val="18"/>
                <w:szCs w:val="18"/>
              </w:rPr>
              <w:t>Ratio acreedor/deudor en convenios</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17DF0C9E" w14:textId="77777777">
            <w:pPr>
              <w:spacing w:before="80" w:after="80"/>
              <w:jc w:val="both"/>
            </w:pPr>
            <w:r>
              <w:rPr>
                <w:sz w:val="18"/>
                <w:szCs w:val="18"/>
              </w:rPr>
              <w:t>Mejora del balance en reclamaciones a terceros</w:t>
            </w:r>
          </w:p>
        </w:tc>
      </w:tr>
      <w:tr w:rsidR="00E75735" w:rsidTr="00995F3D" w14:paraId="6239D1EF"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3A7C7C3D"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54B707E6" w14:textId="77777777">
            <w:pPr>
              <w:spacing w:before="80" w:after="80"/>
              <w:jc w:val="both"/>
            </w:pPr>
            <w:r>
              <w:rPr>
                <w:sz w:val="18"/>
                <w:szCs w:val="18"/>
              </w:rPr>
              <w:t>% reparaciones en red concertada</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CB6F74C" w14:textId="77777777">
            <w:pPr>
              <w:spacing w:before="80" w:after="80"/>
              <w:jc w:val="both"/>
            </w:pPr>
            <w:r>
              <w:rPr>
                <w:sz w:val="18"/>
                <w:szCs w:val="18"/>
              </w:rPr>
              <w:t>Incremento del direccionamiento a red propia</w:t>
            </w:r>
          </w:p>
        </w:tc>
      </w:tr>
      <w:tr w:rsidR="00E75735" w:rsidTr="00995F3D" w14:paraId="658DFE12"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5F37A7EC"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7531EA5D" w14:textId="77777777">
            <w:pPr>
              <w:spacing w:before="80" w:after="80"/>
              <w:jc w:val="both"/>
            </w:pPr>
            <w:r>
              <w:rPr>
                <w:sz w:val="18"/>
                <w:szCs w:val="18"/>
              </w:rPr>
              <w:t>Tiempo medio desde apertura a primer contacto con lesionado.</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16F8E5A1" w14:textId="77777777">
            <w:pPr>
              <w:spacing w:before="80" w:after="80"/>
              <w:jc w:val="both"/>
            </w:pPr>
            <w:r>
              <w:rPr>
                <w:sz w:val="18"/>
                <w:szCs w:val="18"/>
              </w:rPr>
              <w:t>Adecuada valoración del siniestro</w:t>
            </w:r>
          </w:p>
        </w:tc>
      </w:tr>
      <w:tr w:rsidR="00E75735" w:rsidTr="00995F3D" w14:paraId="0DD85768"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1358D54E"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51FBBFDE" w14:textId="77777777">
            <w:pPr>
              <w:spacing w:before="80" w:after="80"/>
              <w:jc w:val="both"/>
            </w:pPr>
            <w:r>
              <w:rPr>
                <w:sz w:val="18"/>
                <w:szCs w:val="18"/>
              </w:rPr>
              <w:t>% de casos judicializados.</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1FC79C5" w14:textId="77777777">
            <w:pPr>
              <w:spacing w:before="80" w:after="80"/>
              <w:jc w:val="both"/>
            </w:pPr>
            <w:r>
              <w:rPr>
                <w:sz w:val="18"/>
                <w:szCs w:val="18"/>
              </w:rPr>
              <w:t>Adecuada gestión orientada a control del coste</w:t>
            </w:r>
          </w:p>
        </w:tc>
      </w:tr>
      <w:tr w:rsidR="00E75735" w:rsidTr="00995F3D" w14:paraId="0208B65E" w14:textId="77777777">
        <w:tblPrEx>
          <w:tblCellMar>
            <w:top w:w="0" w:type="dxa"/>
            <w:bottom w:w="0" w:type="dxa"/>
          </w:tblCellMar>
        </w:tblPrEx>
        <w:tc>
          <w:tcPr>
            <w:tcW w:w="1400" w:type="dxa"/>
            <w:vMerge/>
            <w:tcBorders>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3F9DE648"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27982629" w14:textId="77777777">
            <w:pPr>
              <w:spacing w:before="80" w:after="80"/>
              <w:jc w:val="both"/>
            </w:pPr>
            <w:r>
              <w:rPr>
                <w:sz w:val="18"/>
                <w:szCs w:val="18"/>
              </w:rPr>
              <w:t>Éxito por tipo convenio</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12FCA9BF" w14:textId="77777777">
            <w:pPr>
              <w:spacing w:before="80" w:after="80"/>
              <w:jc w:val="both"/>
            </w:pPr>
            <w:r>
              <w:rPr>
                <w:sz w:val="18"/>
                <w:szCs w:val="18"/>
              </w:rPr>
              <w:t>Adecuada gestión orientada a control del coste</w:t>
            </w:r>
          </w:p>
        </w:tc>
      </w:tr>
      <w:tr w:rsidR="00E75735" w:rsidTr="00B97A77" w14:paraId="6C6DFA0A" w14:textId="77777777">
        <w:tblPrEx>
          <w:tblCellMar>
            <w:top w:w="0" w:type="dxa"/>
            <w:bottom w:w="0" w:type="dxa"/>
          </w:tblCellMar>
        </w:tblPrEx>
        <w:tc>
          <w:tcPr>
            <w:tcW w:w="1400" w:type="dxa"/>
            <w:vMerge w:val="restart"/>
            <w:tcBorders>
              <w:top w:val="single" w:color="E0DED8" w:sz="4" w:space="0"/>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2348ED8C" w14:textId="77777777">
            <w:pPr>
              <w:spacing w:before="80" w:after="80"/>
              <w:jc w:val="both"/>
            </w:pPr>
            <w:r>
              <w:rPr>
                <w:rFonts w:ascii="Arial" w:hAnsi="Arial" w:cs="Arial"/>
                <w:b/>
                <w:sz w:val="18"/>
                <w:szCs w:val="18"/>
              </w:rPr>
              <w:t>Eficiencia operativa</w:t>
            </w: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3FCDCC95" w14:textId="77777777">
            <w:pPr>
              <w:spacing w:before="80" w:after="80"/>
              <w:jc w:val="both"/>
            </w:pPr>
            <w:r>
              <w:rPr>
                <w:b/>
                <w:sz w:val="18"/>
                <w:szCs w:val="18"/>
              </w:rPr>
              <w:t>% de siniestros gestionados sin intervención manual</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552E4DDD" w14:textId="77777777">
            <w:pPr>
              <w:spacing w:before="80" w:after="80"/>
              <w:jc w:val="both"/>
            </w:pPr>
            <w:r>
              <w:rPr>
                <w:sz w:val="18"/>
                <w:szCs w:val="18"/>
              </w:rPr>
              <w:t>máxima automatización compatible con calidad</w:t>
            </w:r>
          </w:p>
        </w:tc>
      </w:tr>
      <w:tr w:rsidR="00E75735" w:rsidTr="00B97A77" w14:paraId="192490A0"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521E3AE8"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6CC6B80F" w14:textId="77777777">
            <w:pPr>
              <w:spacing w:before="80" w:after="80"/>
              <w:jc w:val="both"/>
            </w:pPr>
            <w:r>
              <w:rPr>
                <w:sz w:val="18"/>
                <w:szCs w:val="18"/>
              </w:rPr>
              <w:t>Tiempo medio de apertura del siniestro</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1E90193A" w14:textId="77777777">
            <w:pPr>
              <w:spacing w:before="80" w:after="80"/>
              <w:jc w:val="both"/>
            </w:pPr>
            <w:r>
              <w:rPr>
                <w:sz w:val="18"/>
                <w:szCs w:val="18"/>
              </w:rPr>
              <w:t>Reducción vs. baseline actual</w:t>
            </w:r>
          </w:p>
        </w:tc>
      </w:tr>
      <w:tr w:rsidR="00E75735" w:rsidTr="00B97A77" w14:paraId="6505FBA5"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2ACD19B3"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195FBE1F" w14:textId="77777777">
            <w:pPr>
              <w:spacing w:before="80" w:after="80"/>
              <w:jc w:val="both"/>
            </w:pPr>
            <w:r>
              <w:rPr>
                <w:sz w:val="18"/>
                <w:szCs w:val="18"/>
              </w:rPr>
              <w:t>% de siniestros correctamente clasificados en apertura</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90D79CA" w14:textId="77777777">
            <w:pPr>
              <w:spacing w:before="80" w:after="80"/>
              <w:jc w:val="both"/>
            </w:pPr>
            <w:r>
              <w:rPr>
                <w:sz w:val="18"/>
                <w:szCs w:val="18"/>
              </w:rPr>
              <w:t>Indicador de calidad del triaje automático desde FNOL</w:t>
            </w:r>
          </w:p>
        </w:tc>
      </w:tr>
      <w:tr w:rsidR="00E75735" w:rsidTr="00B97A77" w14:paraId="09F9CF35"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3193CACD"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0DD7D67E" w14:textId="77777777">
            <w:pPr>
              <w:spacing w:before="80" w:after="80"/>
              <w:jc w:val="both"/>
            </w:pPr>
            <w:r>
              <w:rPr>
                <w:sz w:val="18"/>
                <w:szCs w:val="18"/>
              </w:rPr>
              <w:t>% siniestros corporales correctamente segmentados</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2C4C6635" w14:textId="77777777">
            <w:pPr>
              <w:spacing w:before="80" w:after="80"/>
              <w:jc w:val="both"/>
            </w:pPr>
            <w:r>
              <w:rPr>
                <w:sz w:val="18"/>
                <w:szCs w:val="18"/>
              </w:rPr>
              <w:t>Clasificación temprana para gestión especializada</w:t>
            </w:r>
          </w:p>
        </w:tc>
      </w:tr>
      <w:tr w:rsidR="00E75735" w:rsidTr="00B97A77" w14:paraId="4FB82695"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F8ED076"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34E01F27" w14:textId="77777777">
            <w:pPr>
              <w:spacing w:before="80" w:after="80"/>
              <w:jc w:val="both"/>
            </w:pPr>
            <w:r>
              <w:rPr>
                <w:sz w:val="18"/>
                <w:szCs w:val="18"/>
              </w:rPr>
              <w:t>Número de siniestros gestionados por FTE</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1517DE4F" w14:textId="77777777">
            <w:pPr>
              <w:spacing w:before="80" w:after="80"/>
              <w:jc w:val="both"/>
            </w:pPr>
            <w:r>
              <w:rPr>
                <w:sz w:val="18"/>
                <w:szCs w:val="18"/>
              </w:rPr>
              <w:t>Mejora de productividad por tramitador</w:t>
            </w:r>
          </w:p>
        </w:tc>
      </w:tr>
      <w:tr w:rsidR="00E75735" w:rsidTr="00B97A77" w14:paraId="54CA0F34"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66AD1092"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1861A734" w14:textId="77777777">
            <w:pPr>
              <w:spacing w:before="80" w:after="80"/>
              <w:jc w:val="both"/>
            </w:pPr>
            <w:r>
              <w:rPr>
                <w:sz w:val="18"/>
                <w:szCs w:val="18"/>
              </w:rPr>
              <w:t>Tiempo medio de gestión activa por siniestro</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75583A86" w14:textId="77777777">
            <w:pPr>
              <w:spacing w:before="80" w:after="80"/>
              <w:jc w:val="both"/>
            </w:pPr>
            <w:r>
              <w:rPr>
                <w:sz w:val="18"/>
                <w:szCs w:val="18"/>
              </w:rPr>
              <w:t>Reducción en siniestros estándar</w:t>
            </w:r>
          </w:p>
        </w:tc>
      </w:tr>
      <w:tr w:rsidR="00E75735" w:rsidTr="00B97A77" w14:paraId="010572E3" w14:textId="77777777">
        <w:tblPrEx>
          <w:tblCellMar>
            <w:top w:w="0" w:type="dxa"/>
            <w:bottom w:w="0" w:type="dxa"/>
          </w:tblCellMar>
        </w:tblPrEx>
        <w:tc>
          <w:tcPr>
            <w:tcW w:w="1400" w:type="dxa"/>
            <w:vMerge/>
            <w:tcBorders>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66B626B7"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74F818BD" w14:textId="77777777">
            <w:pPr>
              <w:spacing w:before="80" w:after="80"/>
              <w:jc w:val="both"/>
            </w:pPr>
            <w:r>
              <w:rPr>
                <w:sz w:val="18"/>
                <w:szCs w:val="18"/>
              </w:rPr>
              <w:t>Ratio de tareas por siniestro</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6CD9F7D4" w14:textId="77777777">
            <w:pPr>
              <w:spacing w:before="80" w:after="80"/>
              <w:jc w:val="both"/>
            </w:pPr>
            <w:r>
              <w:rPr>
                <w:sz w:val="18"/>
                <w:szCs w:val="18"/>
              </w:rPr>
              <w:t>Eliminación de duplicidades y pasos sin valor</w:t>
            </w:r>
          </w:p>
        </w:tc>
      </w:tr>
      <w:tr w:rsidR="00E75735" w:rsidTr="00D063C3" w14:paraId="7896E126" w14:textId="77777777">
        <w:tblPrEx>
          <w:tblCellMar>
            <w:top w:w="0" w:type="dxa"/>
            <w:bottom w:w="0" w:type="dxa"/>
          </w:tblCellMar>
        </w:tblPrEx>
        <w:tc>
          <w:tcPr>
            <w:tcW w:w="1400" w:type="dxa"/>
            <w:vMerge w:val="restart"/>
            <w:tcBorders>
              <w:top w:val="single" w:color="E0DED8" w:sz="4" w:space="0"/>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49150D1C" w14:textId="77777777">
            <w:pPr>
              <w:spacing w:before="80" w:after="80"/>
              <w:jc w:val="both"/>
            </w:pPr>
            <w:r>
              <w:rPr>
                <w:rFonts w:ascii="Arial" w:hAnsi="Arial" w:cs="Arial"/>
                <w:b/>
                <w:sz w:val="18"/>
                <w:szCs w:val="18"/>
              </w:rPr>
              <w:t>Tiempos y ciclo</w:t>
            </w: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47A4D02D" w14:textId="77777777">
            <w:pPr>
              <w:spacing w:before="80" w:after="80"/>
              <w:jc w:val="both"/>
            </w:pPr>
            <w:r>
              <w:rPr>
                <w:b/>
                <w:sz w:val="18"/>
                <w:szCs w:val="18"/>
              </w:rPr>
              <w:t>% de cierres dentro del plazo objetivo por segmento</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18D32DF5" w14:textId="77777777">
            <w:pPr>
              <w:spacing w:before="80" w:after="80"/>
              <w:jc w:val="both"/>
            </w:pPr>
            <w:r>
              <w:rPr>
                <w:sz w:val="18"/>
                <w:szCs w:val="18"/>
              </w:rPr>
              <w:t>Cumplimiento de SLAs por tipología</w:t>
            </w:r>
          </w:p>
        </w:tc>
      </w:tr>
      <w:tr w:rsidR="00E75735" w:rsidTr="00D063C3" w14:paraId="0E4A5D06"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F486424"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2736A44D" w14:textId="77777777">
            <w:pPr>
              <w:spacing w:before="80" w:after="80"/>
              <w:jc w:val="both"/>
            </w:pPr>
            <w:r>
              <w:rPr>
                <w:sz w:val="18"/>
                <w:szCs w:val="18"/>
              </w:rPr>
              <w:t>Tiempos por fase y tipo de siniestro (apertura, peritación, cierre)</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7649F509" w14:textId="77777777">
            <w:pPr>
              <w:spacing w:before="80" w:after="80"/>
              <w:jc w:val="both"/>
            </w:pPr>
            <w:r>
              <w:rPr>
                <w:sz w:val="18"/>
                <w:szCs w:val="18"/>
              </w:rPr>
              <w:t>Reducción del ciclo</w:t>
            </w:r>
          </w:p>
        </w:tc>
      </w:tr>
      <w:tr w:rsidR="00E75735" w:rsidTr="00D063C3" w14:paraId="7DB7C54E"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55DF614E"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75A4DB07" w14:textId="77777777">
            <w:pPr>
              <w:spacing w:before="80" w:after="80"/>
              <w:jc w:val="both"/>
            </w:pPr>
            <w:r>
              <w:rPr>
                <w:sz w:val="18"/>
                <w:szCs w:val="18"/>
              </w:rPr>
              <w:t>Tiempo medio End-to-End del siniestro</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507398BF" w14:textId="77777777">
            <w:pPr>
              <w:spacing w:before="80" w:after="80"/>
              <w:jc w:val="both"/>
            </w:pPr>
            <w:r>
              <w:rPr>
                <w:sz w:val="18"/>
                <w:szCs w:val="18"/>
              </w:rPr>
              <w:t>Reducción del ciclo completo</w:t>
            </w:r>
          </w:p>
        </w:tc>
      </w:tr>
      <w:tr w:rsidR="00E75735" w:rsidTr="00D063C3" w14:paraId="2CC89FDF"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E192D16"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76E36042" w14:textId="77777777">
            <w:pPr>
              <w:spacing w:before="80" w:after="80"/>
              <w:jc w:val="both"/>
            </w:pPr>
            <w:r>
              <w:rPr>
                <w:sz w:val="18"/>
                <w:szCs w:val="18"/>
              </w:rPr>
              <w:t>Tiempo medio desde apertura a peritación</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BF0B7D2" w14:textId="77777777">
            <w:pPr>
              <w:spacing w:before="80" w:after="80"/>
              <w:jc w:val="both"/>
            </w:pPr>
            <w:r>
              <w:rPr>
                <w:sz w:val="18"/>
                <w:szCs w:val="18"/>
              </w:rPr>
              <w:t>Reducción del ciclo de peritación</w:t>
            </w:r>
          </w:p>
        </w:tc>
      </w:tr>
      <w:tr w:rsidR="00E75735" w:rsidTr="00D063C3" w14:paraId="23EFEAC5"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27AA0AC6"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416C22D3" w14:textId="77777777">
            <w:pPr>
              <w:spacing w:before="80" w:after="80"/>
              <w:jc w:val="both"/>
            </w:pPr>
            <w:r>
              <w:rPr>
                <w:sz w:val="18"/>
                <w:szCs w:val="18"/>
              </w:rPr>
              <w:t>Duración media de reparación</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6C80CAC5" w14:textId="77777777">
            <w:pPr>
              <w:spacing w:before="80" w:after="80"/>
              <w:jc w:val="both"/>
            </w:pPr>
            <w:r>
              <w:rPr>
                <w:sz w:val="18"/>
                <w:szCs w:val="18"/>
              </w:rPr>
              <w:t>Reducción del ciclo de reparación</w:t>
            </w:r>
          </w:p>
        </w:tc>
      </w:tr>
      <w:tr w:rsidR="00E75735" w:rsidTr="00D063C3" w14:paraId="5CFEC07E"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60E3D24"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2B4C630C" w14:textId="77777777">
            <w:pPr>
              <w:spacing w:before="80" w:after="80"/>
              <w:jc w:val="both"/>
            </w:pPr>
            <w:r>
              <w:rPr>
                <w:sz w:val="18"/>
                <w:szCs w:val="18"/>
              </w:rPr>
              <w:t>Vida media de reclamación por tipo de convenio</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2C809C73" w14:textId="77777777">
            <w:pPr>
              <w:spacing w:before="80" w:after="80"/>
              <w:jc w:val="both"/>
            </w:pPr>
            <w:r>
              <w:rPr>
                <w:sz w:val="18"/>
                <w:szCs w:val="18"/>
              </w:rPr>
              <w:t>Reducción del tiempo de reclamación</w:t>
            </w:r>
          </w:p>
        </w:tc>
      </w:tr>
      <w:tr w:rsidR="00E75735" w:rsidTr="00D063C3" w14:paraId="7B8A5427"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342B7E03"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038E0393" w14:textId="77777777">
            <w:pPr>
              <w:spacing w:before="80" w:after="80"/>
              <w:jc w:val="both"/>
            </w:pPr>
            <w:r>
              <w:rPr>
                <w:sz w:val="18"/>
                <w:szCs w:val="18"/>
              </w:rPr>
              <w:t>% de reaperturas tras cierre</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7A2BC0A4" w14:textId="77777777">
            <w:pPr>
              <w:spacing w:before="80" w:after="80"/>
              <w:jc w:val="both"/>
            </w:pPr>
            <w:r>
              <w:rPr>
                <w:sz w:val="18"/>
                <w:szCs w:val="18"/>
              </w:rPr>
              <w:t>Reducción de reaperturas evitables</w:t>
            </w:r>
          </w:p>
        </w:tc>
      </w:tr>
      <w:tr w:rsidR="00E75735" w:rsidTr="00D063C3" w14:paraId="5062CBB7"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4CB50AF"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6E30E70" w14:textId="77777777">
            <w:pPr>
              <w:spacing w:before="80" w:after="80"/>
              <w:jc w:val="both"/>
            </w:pPr>
            <w:r>
              <w:rPr>
                <w:sz w:val="18"/>
                <w:szCs w:val="18"/>
              </w:rPr>
              <w:t>% de fotoperitaciones vs. peritaciones físicas</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FAD8F64" w14:textId="77777777">
            <w:pPr>
              <w:spacing w:before="80" w:after="80"/>
              <w:jc w:val="both"/>
            </w:pPr>
            <w:r>
              <w:rPr>
                <w:sz w:val="18"/>
                <w:szCs w:val="18"/>
              </w:rPr>
              <w:t>Incremento de la peritación digital</w:t>
            </w:r>
          </w:p>
        </w:tc>
      </w:tr>
      <w:tr w:rsidR="00E75735" w:rsidTr="00D063C3" w14:paraId="242A524C" w14:textId="77777777">
        <w:tblPrEx>
          <w:tblCellMar>
            <w:top w:w="0" w:type="dxa"/>
            <w:bottom w:w="0" w:type="dxa"/>
          </w:tblCellMar>
        </w:tblPrEx>
        <w:tc>
          <w:tcPr>
            <w:tcW w:w="1400" w:type="dxa"/>
            <w:vMerge/>
            <w:tcBorders>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792E03E5"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75584EEA" w14:textId="77777777">
            <w:pPr>
              <w:spacing w:before="80" w:after="80"/>
              <w:jc w:val="both"/>
            </w:pPr>
            <w:r>
              <w:rPr>
                <w:sz w:val="18"/>
                <w:szCs w:val="18"/>
              </w:rPr>
              <w:t>% de informes periciales con ampliaciones.</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57D86868" w14:textId="77777777">
            <w:pPr>
              <w:spacing w:before="80" w:after="80"/>
              <w:jc w:val="both"/>
            </w:pPr>
            <w:r>
              <w:rPr>
                <w:sz w:val="18"/>
                <w:szCs w:val="18"/>
              </w:rPr>
              <w:t>Evitar retrabajos y valoraciones que no estén bien ajustadas</w:t>
            </w:r>
          </w:p>
        </w:tc>
      </w:tr>
      <w:tr w:rsidR="00E75735" w:rsidTr="00151327" w14:paraId="06382FDF" w14:textId="77777777">
        <w:tblPrEx>
          <w:tblCellMar>
            <w:top w:w="0" w:type="dxa"/>
            <w:bottom w:w="0" w:type="dxa"/>
          </w:tblCellMar>
        </w:tblPrEx>
        <w:tc>
          <w:tcPr>
            <w:tcW w:w="1400" w:type="dxa"/>
            <w:vMerge w:val="restart"/>
            <w:tcBorders>
              <w:top w:val="single" w:color="E0DED8" w:sz="4" w:space="0"/>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6A3F266" w14:textId="77777777">
            <w:pPr>
              <w:spacing w:before="80" w:after="80"/>
              <w:jc w:val="both"/>
            </w:pPr>
            <w:r>
              <w:rPr>
                <w:rFonts w:ascii="Arial" w:hAnsi="Arial" w:cs="Arial"/>
                <w:b/>
                <w:sz w:val="18"/>
                <w:szCs w:val="18"/>
              </w:rPr>
              <w:t>Experiencia de cliente</w:t>
            </w: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5A96DCCA" w14:textId="77777777">
            <w:pPr>
              <w:spacing w:before="80" w:after="80"/>
              <w:jc w:val="both"/>
            </w:pPr>
            <w:r>
              <w:rPr>
                <w:b/>
                <w:sz w:val="18"/>
                <w:szCs w:val="18"/>
              </w:rPr>
              <w:t>NSS</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68A111E3" w14:textId="77777777">
            <w:pPr>
              <w:spacing w:before="80" w:after="80"/>
              <w:jc w:val="both"/>
            </w:pPr>
            <w:r>
              <w:rPr>
                <w:sz w:val="18"/>
                <w:szCs w:val="18"/>
              </w:rPr>
              <w:t>Nivel e satisfacción del servicio</w:t>
            </w:r>
          </w:p>
        </w:tc>
      </w:tr>
      <w:tr w:rsidR="00E75735" w:rsidTr="00151327" w14:paraId="43FC7773"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349141E6"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4399DDC2" w14:textId="77777777">
            <w:pPr>
              <w:spacing w:before="80" w:after="80"/>
              <w:jc w:val="both"/>
            </w:pPr>
            <w:r>
              <w:rPr>
                <w:sz w:val="18"/>
                <w:szCs w:val="18"/>
              </w:rPr>
              <w:t>NSA</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00DD4714" w14:textId="77777777">
            <w:pPr>
              <w:spacing w:before="80" w:after="80"/>
              <w:jc w:val="both"/>
            </w:pPr>
            <w:r>
              <w:rPr>
                <w:sz w:val="18"/>
                <w:szCs w:val="18"/>
              </w:rPr>
              <w:t>Nivel de atención</w:t>
            </w:r>
          </w:p>
        </w:tc>
      </w:tr>
      <w:tr w:rsidR="00E75735" w:rsidTr="00151327" w14:paraId="5A1D072A"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77F3E8F"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778FD9B3" w14:textId="77777777">
            <w:pPr>
              <w:spacing w:before="80" w:after="80"/>
              <w:jc w:val="both"/>
            </w:pPr>
            <w:r>
              <w:rPr>
                <w:sz w:val="18"/>
                <w:szCs w:val="18"/>
              </w:rPr>
              <w:t>% de quejas s/siniestros terminados</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649F9B7D" w14:textId="77777777">
            <w:pPr>
              <w:spacing w:before="80" w:after="80"/>
              <w:jc w:val="both"/>
            </w:pPr>
            <w:r>
              <w:rPr>
                <w:sz w:val="18"/>
                <w:szCs w:val="18"/>
              </w:rPr>
              <w:t>Nivel de insatisfacción</w:t>
            </w:r>
          </w:p>
        </w:tc>
      </w:tr>
      <w:tr w:rsidR="00E75735" w:rsidTr="00151327" w14:paraId="0A8870E7"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26A8C0A8"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32F3C42D" w14:textId="77777777">
            <w:pPr>
              <w:spacing w:before="80" w:after="80"/>
              <w:jc w:val="both"/>
            </w:pPr>
            <w:r>
              <w:rPr>
                <w:sz w:val="18"/>
                <w:szCs w:val="18"/>
              </w:rPr>
              <w:t>Número medio de contactos por siniestro</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4CB9AF57" w14:textId="77777777">
            <w:pPr>
              <w:spacing w:before="80" w:after="80"/>
              <w:jc w:val="both"/>
            </w:pPr>
            <w:r>
              <w:rPr>
                <w:sz w:val="18"/>
                <w:szCs w:val="18"/>
              </w:rPr>
              <w:t>Mejora de la resolución en primer contacto</w:t>
            </w:r>
          </w:p>
        </w:tc>
      </w:tr>
      <w:tr w:rsidR="00E75735" w:rsidTr="00151327" w14:paraId="6E269E76" w14:textId="77777777">
        <w:tblPrEx>
          <w:tblCellMar>
            <w:top w:w="0" w:type="dxa"/>
            <w:bottom w:w="0" w:type="dxa"/>
          </w:tblCellMar>
        </w:tblPrEx>
        <w:tc>
          <w:tcPr>
            <w:tcW w:w="1400" w:type="dxa"/>
            <w:vMerge/>
            <w:tcBorders>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2F600EA8"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131F1A7A" w14:textId="77777777">
            <w:pPr>
              <w:spacing w:before="80" w:after="80"/>
              <w:jc w:val="both"/>
            </w:pPr>
            <w:r>
              <w:rPr>
                <w:sz w:val="18"/>
                <w:szCs w:val="18"/>
              </w:rPr>
              <w:t>% abandono</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2B476CD3" w14:textId="77777777">
            <w:pPr>
              <w:spacing w:before="80" w:after="80"/>
              <w:jc w:val="both"/>
            </w:pPr>
            <w:r>
              <w:rPr>
                <w:sz w:val="18"/>
                <w:szCs w:val="18"/>
              </w:rPr>
              <w:t>Mejora de la atención telefónica en siniestros</w:t>
            </w:r>
          </w:p>
        </w:tc>
      </w:tr>
      <w:tr w:rsidR="00E75735" w:rsidTr="00151327" w14:paraId="22950515" w14:textId="77777777">
        <w:tblPrEx>
          <w:tblCellMar>
            <w:top w:w="0" w:type="dxa"/>
            <w:bottom w:w="0" w:type="dxa"/>
          </w:tblCellMar>
        </w:tblPrEx>
        <w:tc>
          <w:tcPr>
            <w:tcW w:w="1400" w:type="dxa"/>
            <w:vMerge/>
            <w:tcBorders>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5A99FD77"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609DADF2" w14:textId="77777777">
            <w:pPr>
              <w:spacing w:before="80" w:after="80"/>
              <w:jc w:val="both"/>
            </w:pPr>
            <w:r>
              <w:rPr>
                <w:sz w:val="18"/>
                <w:szCs w:val="18"/>
              </w:rPr>
              <w:t>% llamadas transferidas</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1C271673" w14:textId="77777777">
            <w:pPr>
              <w:spacing w:before="80" w:after="80"/>
              <w:jc w:val="both"/>
            </w:pPr>
            <w:r>
              <w:rPr>
                <w:sz w:val="18"/>
                <w:szCs w:val="18"/>
              </w:rPr>
              <w:t>Mejora de la atención telefónica en siniestros</w:t>
            </w:r>
          </w:p>
        </w:tc>
      </w:tr>
      <w:tr w:rsidR="00E75735" w:rsidTr="00A11DC2" w14:paraId="63CAAF1A" w14:textId="77777777">
        <w:tblPrEx>
          <w:tblCellMar>
            <w:top w:w="0" w:type="dxa"/>
            <w:bottom w:w="0" w:type="dxa"/>
          </w:tblCellMar>
        </w:tblPrEx>
        <w:tc>
          <w:tcPr>
            <w:tcW w:w="1400" w:type="dxa"/>
            <w:vMerge w:val="restart"/>
            <w:tcBorders>
              <w:top w:val="single" w:color="E0DED8" w:sz="4" w:space="0"/>
              <w:left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49F0BF29" w14:textId="77777777">
            <w:pPr>
              <w:spacing w:before="80" w:after="80"/>
              <w:jc w:val="both"/>
            </w:pPr>
            <w:r>
              <w:rPr>
                <w:rFonts w:ascii="Arial" w:hAnsi="Arial" w:cs="Arial"/>
                <w:b/>
                <w:sz w:val="18"/>
                <w:szCs w:val="18"/>
              </w:rPr>
              <w:t>Fraude</w:t>
            </w:r>
          </w:p>
        </w:tc>
        <w:tc>
          <w:tcPr>
            <w:tcW w:w="4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33E25B24" w14:textId="77777777">
            <w:pPr>
              <w:spacing w:before="80" w:after="80"/>
              <w:jc w:val="both"/>
            </w:pPr>
            <w:r>
              <w:rPr>
                <w:b/>
                <w:sz w:val="18"/>
                <w:szCs w:val="18"/>
              </w:rPr>
              <w:t>% de siniestros con indicios de fraude detectados en fases tempranas</w:t>
            </w:r>
          </w:p>
        </w:tc>
        <w:tc>
          <w:tcPr>
            <w:tcW w:w="34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E75735" w:rsidRDefault="00E75735" w14:paraId="0DCF465A" w14:textId="77777777">
            <w:pPr>
              <w:spacing w:before="80" w:after="80"/>
              <w:jc w:val="both"/>
            </w:pPr>
            <w:r>
              <w:rPr>
                <w:sz w:val="18"/>
                <w:szCs w:val="18"/>
              </w:rPr>
              <w:t>Detección antes de pago</w:t>
            </w:r>
          </w:p>
        </w:tc>
      </w:tr>
      <w:tr w:rsidR="00E75735" w:rsidTr="00A11DC2" w14:paraId="73E425F5" w14:textId="77777777">
        <w:tblPrEx>
          <w:tblCellMar>
            <w:top w:w="0" w:type="dxa"/>
            <w:bottom w:w="0" w:type="dxa"/>
          </w:tblCellMar>
        </w:tblPrEx>
        <w:tc>
          <w:tcPr>
            <w:tcW w:w="1400" w:type="dxa"/>
            <w:vMerge/>
            <w:tcBorders>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71AC726D" w14:textId="77777777">
            <w:pPr>
              <w:spacing w:before="80" w:after="80"/>
              <w:jc w:val="both"/>
            </w:pPr>
          </w:p>
        </w:tc>
        <w:tc>
          <w:tcPr>
            <w:tcW w:w="4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7FAEB4B5" w14:textId="77777777">
            <w:pPr>
              <w:spacing w:before="80" w:after="80"/>
              <w:jc w:val="both"/>
            </w:pPr>
            <w:r>
              <w:rPr>
                <w:sz w:val="18"/>
                <w:szCs w:val="18"/>
              </w:rPr>
              <w:t>Impacto económico evitado por fraude</w:t>
            </w:r>
          </w:p>
        </w:tc>
        <w:tc>
          <w:tcPr>
            <w:tcW w:w="34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E75735" w:rsidRDefault="00E75735" w14:paraId="6C57805B" w14:textId="77777777">
            <w:pPr>
              <w:spacing w:before="80" w:after="80"/>
              <w:jc w:val="both"/>
            </w:pPr>
            <w:r>
              <w:rPr>
                <w:sz w:val="18"/>
                <w:szCs w:val="18"/>
              </w:rPr>
              <w:t>Cuantificación del valor de la detección</w:t>
            </w:r>
          </w:p>
        </w:tc>
      </w:tr>
    </w:tbl>
    <w:p w:rsidR="00E75735" w:rsidRDefault="00E75735" w14:paraId="1C658672" w14:textId="77777777">
      <w:pPr>
        <w:spacing w:after="120"/>
        <w:rPr>
          <w:rFonts w:ascii="Arial" w:hAnsi="Arial" w:cs="Arial"/>
          <w:color w:val="888888"/>
          <w:sz w:val="16"/>
          <w:szCs w:val="16"/>
        </w:rPr>
      </w:pPr>
    </w:p>
    <w:p w:rsidR="00E75735" w:rsidRDefault="00E75735" w14:paraId="1A5D7A1D" w14:textId="77777777">
      <w:pPr>
        <w:spacing w:after="120"/>
        <w:rPr>
          <w:rFonts w:ascii="Arial" w:hAnsi="Arial" w:cs="Arial"/>
          <w:color w:val="888888"/>
          <w:sz w:val="16"/>
          <w:szCs w:val="16"/>
        </w:rPr>
      </w:pPr>
    </w:p>
    <w:p w:rsidR="00E75735" w:rsidRDefault="00E75735" w14:paraId="38547E88" w14:textId="77777777">
      <w:pPr>
        <w:spacing w:after="120"/>
        <w:rPr>
          <w:rFonts w:ascii="Arial" w:hAnsi="Arial" w:cs="Arial"/>
          <w:color w:val="888888"/>
          <w:sz w:val="16"/>
          <w:szCs w:val="16"/>
        </w:rPr>
      </w:pPr>
    </w:p>
    <w:p w:rsidR="00E75735" w:rsidRDefault="00E75735" w14:paraId="03B78F02" w14:textId="77777777">
      <w:pPr>
        <w:spacing w:after="120"/>
        <w:rPr>
          <w:rFonts w:ascii="Arial" w:hAnsi="Arial" w:cs="Arial"/>
          <w:color w:val="888888"/>
          <w:sz w:val="16"/>
          <w:szCs w:val="16"/>
        </w:rPr>
      </w:pPr>
    </w:p>
    <w:p w:rsidR="00E75735" w:rsidRDefault="00E75735" w14:paraId="7EDE93C8" w14:textId="77777777">
      <w:pPr>
        <w:spacing w:after="120"/>
        <w:rPr>
          <w:rFonts w:ascii="Arial" w:hAnsi="Arial" w:cs="Arial"/>
          <w:color w:val="888888"/>
          <w:sz w:val="16"/>
          <w:szCs w:val="16"/>
        </w:rPr>
      </w:pPr>
    </w:p>
    <w:p w:rsidR="00E75735" w:rsidRDefault="00E75735" w14:paraId="7635D46D" w14:textId="77777777">
      <w:pPr>
        <w:spacing w:after="120"/>
        <w:rPr>
          <w:rFonts w:ascii="Arial" w:hAnsi="Arial" w:cs="Arial"/>
          <w:color w:val="888888"/>
          <w:sz w:val="16"/>
          <w:szCs w:val="16"/>
        </w:rPr>
      </w:pPr>
    </w:p>
    <w:p w:rsidR="00E75735" w:rsidRDefault="00E75735" w14:paraId="070298C6" w14:textId="77777777">
      <w:pPr>
        <w:spacing w:after="120"/>
        <w:rPr>
          <w:rFonts w:ascii="Arial" w:hAnsi="Arial" w:cs="Arial"/>
          <w:color w:val="888888"/>
          <w:sz w:val="16"/>
          <w:szCs w:val="16"/>
        </w:rPr>
      </w:pPr>
    </w:p>
    <w:p w:rsidR="00E75735" w:rsidRDefault="00E75735" w14:paraId="19D04071" w14:textId="77777777">
      <w:pPr>
        <w:spacing w:after="120"/>
        <w:rPr>
          <w:rFonts w:ascii="Arial" w:hAnsi="Arial" w:cs="Arial"/>
          <w:color w:val="888888"/>
          <w:sz w:val="16"/>
          <w:szCs w:val="16"/>
        </w:rPr>
      </w:pPr>
    </w:p>
    <w:p w:rsidR="00E75735" w:rsidRDefault="00E75735" w14:paraId="22EED5F6" w14:textId="77777777">
      <w:pPr>
        <w:spacing w:after="120"/>
        <w:rPr>
          <w:rFonts w:ascii="Arial" w:hAnsi="Arial" w:cs="Arial"/>
          <w:color w:val="888888"/>
          <w:sz w:val="16"/>
          <w:szCs w:val="16"/>
        </w:rPr>
      </w:pPr>
    </w:p>
    <w:p w:rsidR="001953D6" w:rsidRDefault="00000000" w14:paraId="12910E6F" w14:textId="6544FEC6">
      <w:pPr>
        <w:spacing w:after="120"/>
      </w:pPr>
      <w:r>
        <w:rPr>
          <w:rFonts w:ascii="Arial" w:hAnsi="Arial" w:cs="Arial"/>
          <w:color w:val="888888"/>
          <w:sz w:val="16"/>
          <w:szCs w:val="16"/>
        </w:rPr>
        <w:t>IMPLICACIONES ORGANIZATIVAS</w:t>
      </w:r>
    </w:p>
    <w:p w:rsidR="001953D6" w:rsidRDefault="00000000" w14:paraId="61E3777D" w14:textId="77777777">
      <w:pPr>
        <w:spacing w:after="160"/>
      </w:pPr>
      <w:r>
        <w:rPr>
          <w:rFonts w:ascii="Arial" w:hAnsi="Arial" w:cs="Arial"/>
          <w:b/>
          <w:sz w:val="30"/>
          <w:szCs w:val="30"/>
        </w:rPr>
        <w:t>Un proyecto que cambia cómo trabaja la compañía en su operación más importante</w:t>
      </w:r>
    </w:p>
    <w:p w:rsidR="001953D6" w:rsidRDefault="00000000" w14:paraId="6E6BD4F8" w14:textId="77777777">
      <w:pPr>
        <w:spacing w:after="280"/>
        <w:jc w:val="both"/>
      </w:pPr>
      <w:r>
        <w:rPr>
          <w:i/>
          <w:color w:val="555555"/>
        </w:rPr>
        <w:t>La transformación de siniestros motor no ha sido un proyecto de tecnología. Ha sido un cambio en los procesos, en las herramientas y en la forma en que trabajan cada día los equipos que gestionan más de 400.000 expedientes al año.</w:t>
      </w:r>
    </w:p>
    <w:tbl>
      <w:tblPr>
        <w:tblW w:w="9026" w:type="dxa"/>
        <w:tblCellMar>
          <w:left w:w="10" w:type="dxa"/>
          <w:right w:w="10" w:type="dxa"/>
        </w:tblCellMar>
        <w:tblLook w:val="04A0" w:firstRow="1" w:lastRow="0" w:firstColumn="1" w:lastColumn="0" w:noHBand="0" w:noVBand="1"/>
      </w:tblPr>
      <w:tblGrid>
        <w:gridCol w:w="9026"/>
      </w:tblGrid>
      <w:tr w:rsidR="001953D6" w14:paraId="2D84E97F" w14:textId="77777777">
        <w:tblPrEx>
          <w:tblCellMar>
            <w:top w:w="0" w:type="dxa"/>
            <w:bottom w:w="0" w:type="dxa"/>
          </w:tblCellMar>
        </w:tblPrEx>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1953D6" w:rsidRDefault="00000000" w14:paraId="39D610C6" w14:textId="77777777">
            <w:pPr>
              <w:spacing w:before="100" w:after="60"/>
            </w:pPr>
            <w:r>
              <w:rPr>
                <w:rFonts w:ascii="Arial" w:hAnsi="Arial" w:cs="Arial"/>
                <w:b/>
                <w:sz w:val="20"/>
                <w:szCs w:val="20"/>
              </w:rPr>
              <w:t>Procesos rediseñados de principio a fin</w:t>
            </w:r>
          </w:p>
          <w:p w:rsidR="001953D6" w:rsidRDefault="00000000" w14:paraId="644E5E4F" w14:textId="77777777">
            <w:pPr>
              <w:spacing w:after="100"/>
              <w:jc w:val="both"/>
            </w:pPr>
            <w:r>
              <w:rPr>
                <w:color w:val="555555"/>
                <w:sz w:val="20"/>
                <w:szCs w:val="20"/>
              </w:rPr>
              <w:t>Todos los pasos del ciclo del siniestro —desde la apertura hasta el cobro del recobro— se han analizado y rediseñado para eliminar los pasos que no aportan valor, acelerar los tiempos y estandarizar los criterios. El objetivo era que el resultado no dependiera de quién lleva el expediente ni de en qué taller se repara: el mismo proceso, la misma calidad, siempre.</w:t>
            </w:r>
          </w:p>
        </w:tc>
      </w:tr>
    </w:tbl>
    <w:p w:rsidR="001953D6" w:rsidRDefault="001953D6" w14:paraId="5EFE7D15" w14:textId="77777777">
      <w:pPr>
        <w:spacing w:before="80"/>
      </w:pPr>
    </w:p>
    <w:tbl>
      <w:tblPr>
        <w:tblW w:w="9026" w:type="dxa"/>
        <w:tblCellMar>
          <w:left w:w="10" w:type="dxa"/>
          <w:right w:w="10" w:type="dxa"/>
        </w:tblCellMar>
        <w:tblLook w:val="04A0" w:firstRow="1" w:lastRow="0" w:firstColumn="1" w:lastColumn="0" w:noHBand="0" w:noVBand="1"/>
      </w:tblPr>
      <w:tblGrid>
        <w:gridCol w:w="9026"/>
      </w:tblGrid>
      <w:tr w:rsidR="001953D6" w14:paraId="4F4DD3B8" w14:textId="77777777">
        <w:tblPrEx>
          <w:tblCellMar>
            <w:top w:w="0" w:type="dxa"/>
            <w:bottom w:w="0" w:type="dxa"/>
          </w:tblCellMar>
        </w:tblPrEx>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1953D6" w:rsidRDefault="00000000" w14:paraId="64118790" w14:textId="77777777">
            <w:pPr>
              <w:spacing w:before="100" w:after="60"/>
            </w:pPr>
            <w:r>
              <w:rPr>
                <w:rFonts w:ascii="Arial" w:hAnsi="Arial" w:cs="Arial"/>
                <w:b/>
                <w:sz w:val="20"/>
                <w:szCs w:val="20"/>
              </w:rPr>
              <w:t>Tecnología al servicio de las personas</w:t>
            </w:r>
          </w:p>
          <w:p w:rsidR="001953D6" w:rsidRDefault="00000000" w14:paraId="0F8A7F99" w14:textId="77777777">
            <w:pPr>
              <w:spacing w:after="100"/>
              <w:jc w:val="both"/>
            </w:pPr>
            <w:r>
              <w:rPr>
                <w:color w:val="555555"/>
                <w:sz w:val="20"/>
                <w:szCs w:val="20"/>
              </w:rPr>
              <w:t>Clasificación automática desde la apertura, lectura de documentos y fotografías, detección de indicios de fraude, y un cuadro de seguimiento con indicadores actualizados en tiempo real. Toda la información del siniestro viaja también al sistema de atención al cliente, de forma que cuando el asegurado llama, quien le atiende tiene el estado del expediente delante sin tener que consultar otro sistema.</w:t>
            </w:r>
          </w:p>
        </w:tc>
      </w:tr>
    </w:tbl>
    <w:p w:rsidR="001953D6" w:rsidRDefault="001953D6" w14:paraId="77C00A17" w14:textId="77777777">
      <w:pPr>
        <w:spacing w:before="80"/>
      </w:pPr>
    </w:p>
    <w:tbl>
      <w:tblPr>
        <w:tblW w:w="9026" w:type="dxa"/>
        <w:tblCellMar>
          <w:left w:w="10" w:type="dxa"/>
          <w:right w:w="10" w:type="dxa"/>
        </w:tblCellMar>
        <w:tblLook w:val="04A0" w:firstRow="1" w:lastRow="0" w:firstColumn="1" w:lastColumn="0" w:noHBand="0" w:noVBand="1"/>
      </w:tblPr>
      <w:tblGrid>
        <w:gridCol w:w="9026"/>
      </w:tblGrid>
      <w:tr w:rsidR="001953D6" w14:paraId="0368FBCF" w14:textId="77777777">
        <w:tblPrEx>
          <w:tblCellMar>
            <w:top w:w="0" w:type="dxa"/>
            <w:bottom w:w="0" w:type="dxa"/>
          </w:tblCellMar>
        </w:tblPrEx>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1953D6" w:rsidRDefault="00000000" w14:paraId="1D5002CD" w14:textId="77777777">
            <w:pPr>
              <w:spacing w:before="100" w:after="60"/>
            </w:pPr>
            <w:r>
              <w:rPr>
                <w:rFonts w:ascii="Arial" w:hAnsi="Arial" w:cs="Arial"/>
                <w:b/>
                <w:sz w:val="20"/>
                <w:szCs w:val="20"/>
              </w:rPr>
              <w:t>El tramitador en el centro, no en la pantalla</w:t>
            </w:r>
          </w:p>
          <w:p w:rsidR="001953D6" w:rsidRDefault="00000000" w14:paraId="2188426C" w14:textId="77777777">
            <w:pPr>
              <w:spacing w:after="100"/>
              <w:jc w:val="both"/>
            </w:pPr>
            <w:r>
              <w:rPr>
                <w:color w:val="555555"/>
                <w:sz w:val="20"/>
                <w:szCs w:val="20"/>
              </w:rPr>
              <w:t>La automatización de las tareas administrativas ha devuelto tiempo real a los tramitadores. Ese tiempo se ha reinvertido en lo que realmente requiere su experiencia: la relación con el cliente, la negociación con talleres y peritos, y los expedientes que necesitan criterio. El proyecto ha incluido formación en las nuevas herramientas y acompañamiento continuo durante todo el proceso de implantación.</w:t>
            </w:r>
          </w:p>
        </w:tc>
      </w:tr>
    </w:tbl>
    <w:p w:rsidR="001953D6" w:rsidRDefault="001953D6" w14:paraId="6D90EE1E" w14:textId="77777777">
      <w:pPr>
        <w:spacing w:before="80"/>
      </w:pPr>
    </w:p>
    <w:tbl>
      <w:tblPr>
        <w:tblW w:w="9026" w:type="dxa"/>
        <w:tblCellMar>
          <w:left w:w="10" w:type="dxa"/>
          <w:right w:w="10" w:type="dxa"/>
        </w:tblCellMar>
        <w:tblLook w:val="04A0" w:firstRow="1" w:lastRow="0" w:firstColumn="1" w:lastColumn="0" w:noHBand="0" w:noVBand="1"/>
      </w:tblPr>
      <w:tblGrid>
        <w:gridCol w:w="9026"/>
      </w:tblGrid>
      <w:tr w:rsidR="001953D6" w14:paraId="5A3ADB7E" w14:textId="77777777">
        <w:tblPrEx>
          <w:tblCellMar>
            <w:top w:w="0" w:type="dxa"/>
            <w:bottom w:w="0" w:type="dxa"/>
          </w:tblCellMar>
        </w:tblPrEx>
        <w:tc>
          <w:tcPr>
            <w:tcW w:w="9026" w:type="dxa"/>
            <w:tcBorders>
              <w:top w:val="single" w:color="E0DED8" w:sz="4" w:space="0"/>
              <w:left w:val="single" w:color="BE2A2A" w:sz="18" w:space="0"/>
              <w:bottom w:val="single" w:color="E0DED8" w:sz="4" w:space="0"/>
              <w:right w:val="single" w:color="E0DED8" w:sz="4" w:space="0"/>
            </w:tcBorders>
            <w:shd w:val="clear" w:color="auto" w:fill="FFFFFF"/>
            <w:tcMar>
              <w:top w:w="100" w:type="dxa"/>
              <w:left w:w="200" w:type="dxa"/>
              <w:bottom w:w="100" w:type="dxa"/>
              <w:right w:w="140" w:type="dxa"/>
            </w:tcMar>
          </w:tcPr>
          <w:p w:rsidR="001953D6" w:rsidRDefault="00000000" w14:paraId="6C0BDE65" w14:textId="77777777">
            <w:pPr>
              <w:spacing w:before="100" w:after="60"/>
            </w:pPr>
            <w:r>
              <w:rPr>
                <w:rFonts w:ascii="Arial" w:hAnsi="Arial" w:cs="Arial"/>
                <w:b/>
                <w:sz w:val="20"/>
                <w:szCs w:val="20"/>
              </w:rPr>
              <w:t>Un modelo que seguirá mejorando solo</w:t>
            </w:r>
          </w:p>
          <w:p w:rsidR="001953D6" w:rsidRDefault="00000000" w14:paraId="1E5FBF4E" w14:textId="77777777">
            <w:pPr>
              <w:spacing w:after="100"/>
              <w:jc w:val="both"/>
            </w:pPr>
            <w:r>
              <w:rPr>
                <w:color w:val="555555"/>
                <w:sz w:val="20"/>
                <w:szCs w:val="20"/>
              </w:rPr>
              <w:t>El proyecto se ha diseñado para que la compañía sea completamente autónoma cuando la consultora salga. Los equipos internos tienen las herramientas, el conocimiento y los hábitos de seguimiento para que el modelo siga evolucionando. No fue un proyecto que entregó y desapareció: fue la construcción de una capacidad permanente.</w:t>
            </w:r>
          </w:p>
        </w:tc>
      </w:tr>
    </w:tbl>
    <w:p w:rsidR="001953D6" w:rsidRDefault="001953D6" w14:paraId="1F03478B" w14:textId="77777777">
      <w:pPr>
        <w:spacing w:before="80"/>
      </w:pPr>
    </w:p>
    <w:p w:rsidR="001953D6" w:rsidRDefault="001953D6" w14:paraId="5BDC6002" w14:textId="77777777">
      <w:pPr>
        <w:pBdr>
          <w:top w:val="single" w:color="D3D1C7" w:sz="1" w:space="1"/>
        </w:pBdr>
        <w:spacing w:before="240"/>
      </w:pPr>
    </w:p>
    <w:p w:rsidR="001953D6" w:rsidRDefault="00000000" w14:paraId="305C15A1" w14:textId="77777777">
      <w:pPr>
        <w:spacing w:before="200" w:after="160"/>
      </w:pPr>
      <w:r>
        <w:rPr>
          <w:rFonts w:ascii="Arial" w:hAnsi="Arial" w:cs="Arial"/>
          <w:b/>
          <w:sz w:val="24"/>
          <w:szCs w:val="24"/>
        </w:rPr>
        <w:t>Áreas implicadas</w:t>
      </w:r>
    </w:p>
    <w:tbl>
      <w:tblPr>
        <w:tblW w:w="9026" w:type="dxa"/>
        <w:tblCellMar>
          <w:left w:w="10" w:type="dxa"/>
          <w:right w:w="10" w:type="dxa"/>
        </w:tblCellMar>
        <w:tblLook w:val="04A0" w:firstRow="1" w:lastRow="0" w:firstColumn="1" w:lastColumn="0" w:noHBand="0" w:noVBand="1"/>
      </w:tblPr>
      <w:tblGrid>
        <w:gridCol w:w="2800"/>
        <w:gridCol w:w="6226"/>
      </w:tblGrid>
      <w:tr w:rsidR="001953D6" w14:paraId="79889D2F" w14:textId="77777777">
        <w:tblPrEx>
          <w:tblCellMar>
            <w:top w:w="0" w:type="dxa"/>
            <w:bottom w:w="0" w:type="dxa"/>
          </w:tblCellMar>
        </w:tblPrEx>
        <w:trPr>
          <w:tblHeader/>
        </w:trPr>
        <w:tc>
          <w:tcPr>
            <w:tcW w:w="2800" w:type="dxa"/>
            <w:shd w:val="clear" w:color="auto" w:fill="3D3D3B"/>
            <w:tcMar>
              <w:top w:w="80" w:type="dxa"/>
              <w:left w:w="140" w:type="dxa"/>
              <w:bottom w:w="80" w:type="dxa"/>
              <w:right w:w="100" w:type="dxa"/>
            </w:tcMar>
          </w:tcPr>
          <w:p w:rsidR="001953D6" w:rsidRDefault="00000000" w14:paraId="57B6805A" w14:textId="77777777">
            <w:pPr>
              <w:spacing w:before="80" w:after="80"/>
            </w:pPr>
            <w:r>
              <w:rPr>
                <w:rFonts w:ascii="Arial" w:hAnsi="Arial" w:cs="Arial"/>
                <w:b/>
                <w:color w:val="FFFFFF"/>
                <w:sz w:val="18"/>
                <w:szCs w:val="18"/>
              </w:rPr>
              <w:t>Área</w:t>
            </w:r>
          </w:p>
        </w:tc>
        <w:tc>
          <w:tcPr>
            <w:tcW w:w="6226" w:type="dxa"/>
            <w:shd w:val="clear" w:color="auto" w:fill="3D3D3B"/>
            <w:tcMar>
              <w:top w:w="80" w:type="dxa"/>
              <w:left w:w="140" w:type="dxa"/>
              <w:bottom w:w="80" w:type="dxa"/>
              <w:right w:w="100" w:type="dxa"/>
            </w:tcMar>
          </w:tcPr>
          <w:p w:rsidR="001953D6" w:rsidRDefault="00000000" w14:paraId="0F66E5C0" w14:textId="77777777">
            <w:pPr>
              <w:spacing w:before="80" w:after="80"/>
            </w:pPr>
            <w:r>
              <w:rPr>
                <w:rFonts w:ascii="Arial" w:hAnsi="Arial" w:cs="Arial"/>
                <w:b/>
                <w:color w:val="FFFFFF"/>
                <w:sz w:val="18"/>
                <w:szCs w:val="18"/>
              </w:rPr>
              <w:t>Misión en el proyecto</w:t>
            </w:r>
          </w:p>
        </w:tc>
      </w:tr>
      <w:tr w:rsidR="001953D6" w14:paraId="42C55B74" w14:textId="77777777">
        <w:tblPrEx>
          <w:tblCellMar>
            <w:top w:w="0" w:type="dxa"/>
            <w:bottom w:w="0" w:type="dxa"/>
          </w:tblCellMar>
        </w:tblPrEx>
        <w:tc>
          <w:tcPr>
            <w:tcW w:w="28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1953D6" w:rsidRDefault="00000000" w14:paraId="09031B40" w14:textId="77777777">
            <w:pPr>
              <w:spacing w:before="80" w:after="60"/>
            </w:pPr>
            <w:r>
              <w:rPr>
                <w:rFonts w:ascii="Arial" w:hAnsi="Arial" w:cs="Arial"/>
                <w:b/>
                <w:sz w:val="19"/>
                <w:szCs w:val="19"/>
              </w:rPr>
              <w:t>Servicios y Prestaciones</w:t>
            </w:r>
          </w:p>
        </w:tc>
        <w:tc>
          <w:tcPr>
            <w:tcW w:w="6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1953D6" w:rsidRDefault="00000000" w14:paraId="57390D70" w14:textId="77777777">
            <w:pPr>
              <w:spacing w:before="80" w:after="80"/>
              <w:jc w:val="both"/>
            </w:pPr>
            <w:r>
              <w:rPr>
                <w:color w:val="555555"/>
                <w:sz w:val="19"/>
                <w:szCs w:val="19"/>
              </w:rPr>
              <w:t>Área impulsora. Ha definido las prioridades, validado el diseño y es responsable de que los cambios se sostengan.</w:t>
            </w:r>
          </w:p>
        </w:tc>
      </w:tr>
      <w:tr w:rsidR="001953D6" w14:paraId="14822D09" w14:textId="77777777">
        <w:tblPrEx>
          <w:tblCellMar>
            <w:top w:w="0" w:type="dxa"/>
            <w:bottom w:w="0" w:type="dxa"/>
          </w:tblCellMar>
        </w:tblPrEx>
        <w:tc>
          <w:tcPr>
            <w:tcW w:w="28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1953D6" w:rsidRDefault="00000000" w14:paraId="28523BD9" w14:textId="77777777">
            <w:pPr>
              <w:spacing w:before="80" w:after="60"/>
            </w:pPr>
            <w:r>
              <w:rPr>
                <w:rFonts w:ascii="Arial" w:hAnsi="Arial" w:cs="Arial"/>
                <w:b/>
                <w:sz w:val="19"/>
                <w:szCs w:val="19"/>
              </w:rPr>
              <w:t>Transformación</w:t>
            </w:r>
          </w:p>
        </w:tc>
        <w:tc>
          <w:tcPr>
            <w:tcW w:w="6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1953D6" w:rsidRDefault="00000000" w14:paraId="75CEAAFA" w14:textId="77777777">
            <w:pPr>
              <w:spacing w:before="80" w:after="80"/>
              <w:jc w:val="both"/>
            </w:pPr>
            <w:r>
              <w:rPr>
                <w:color w:val="555555"/>
                <w:sz w:val="19"/>
                <w:szCs w:val="19"/>
              </w:rPr>
              <w:t>Ha diseñado los nuevos procesos y liderado el enfoque de mejora de la experiencia del cliente.</w:t>
            </w:r>
          </w:p>
        </w:tc>
      </w:tr>
      <w:tr w:rsidR="001953D6" w14:paraId="1FCB522B" w14:textId="77777777">
        <w:tblPrEx>
          <w:tblCellMar>
            <w:top w:w="0" w:type="dxa"/>
            <w:bottom w:w="0" w:type="dxa"/>
          </w:tblCellMar>
        </w:tblPrEx>
        <w:tc>
          <w:tcPr>
            <w:tcW w:w="2800"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1953D6" w:rsidRDefault="00000000" w14:paraId="6106819E" w14:textId="77777777">
            <w:pPr>
              <w:spacing w:before="80" w:after="60"/>
            </w:pPr>
            <w:r>
              <w:rPr>
                <w:rFonts w:ascii="Arial" w:hAnsi="Arial" w:cs="Arial"/>
                <w:b/>
                <w:sz w:val="19"/>
                <w:szCs w:val="19"/>
              </w:rPr>
              <w:t>Tecnología</w:t>
            </w:r>
          </w:p>
        </w:tc>
        <w:tc>
          <w:tcPr>
            <w:tcW w:w="6226" w:type="dxa"/>
            <w:tcBorders>
              <w:top w:val="single" w:color="E0DED8" w:sz="4" w:space="0"/>
              <w:left w:val="single" w:color="E0DED8" w:sz="4" w:space="0"/>
              <w:bottom w:val="single" w:color="E0DED8" w:sz="4" w:space="0"/>
              <w:right w:val="single" w:color="E0DED8" w:sz="4" w:space="0"/>
            </w:tcBorders>
            <w:shd w:val="clear" w:color="auto" w:fill="F8F7F4"/>
            <w:tcMar>
              <w:top w:w="80" w:type="dxa"/>
              <w:left w:w="140" w:type="dxa"/>
              <w:bottom w:w="80" w:type="dxa"/>
              <w:right w:w="100" w:type="dxa"/>
            </w:tcMar>
          </w:tcPr>
          <w:p w:rsidR="001953D6" w:rsidRDefault="00000000" w14:paraId="51A771F3" w14:textId="77777777">
            <w:pPr>
              <w:spacing w:before="80" w:after="80"/>
              <w:jc w:val="both"/>
            </w:pPr>
            <w:r>
              <w:rPr>
                <w:color w:val="555555"/>
                <w:sz w:val="19"/>
                <w:szCs w:val="19"/>
              </w:rPr>
              <w:t>Ha implementado todas las iniciativas tecnológicas, desde la clasificación automática hasta la integración con el sistema de atención al cliente.</w:t>
            </w:r>
          </w:p>
        </w:tc>
      </w:tr>
      <w:tr w:rsidR="001953D6" w14:paraId="3E6BA406" w14:textId="77777777">
        <w:tblPrEx>
          <w:tblCellMar>
            <w:top w:w="0" w:type="dxa"/>
            <w:bottom w:w="0" w:type="dxa"/>
          </w:tblCellMar>
        </w:tblPrEx>
        <w:tc>
          <w:tcPr>
            <w:tcW w:w="2800"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1953D6" w:rsidRDefault="00000000" w14:paraId="561BFBC2" w14:textId="77777777">
            <w:pPr>
              <w:spacing w:before="80" w:after="60"/>
            </w:pPr>
            <w:r>
              <w:rPr>
                <w:rFonts w:ascii="Arial" w:hAnsi="Arial" w:cs="Arial"/>
                <w:b/>
                <w:sz w:val="19"/>
                <w:szCs w:val="19"/>
              </w:rPr>
              <w:t>Personas</w:t>
            </w:r>
          </w:p>
        </w:tc>
        <w:tc>
          <w:tcPr>
            <w:tcW w:w="6226" w:type="dxa"/>
            <w:tcBorders>
              <w:top w:val="single" w:color="E0DED8" w:sz="4" w:space="0"/>
              <w:left w:val="single" w:color="E0DED8" w:sz="4" w:space="0"/>
              <w:bottom w:val="single" w:color="E0DED8" w:sz="4" w:space="0"/>
              <w:right w:val="single" w:color="E0DED8" w:sz="4" w:space="0"/>
            </w:tcBorders>
            <w:shd w:val="clear" w:color="auto" w:fill="FFFFFF"/>
            <w:tcMar>
              <w:top w:w="80" w:type="dxa"/>
              <w:left w:w="140" w:type="dxa"/>
              <w:bottom w:w="80" w:type="dxa"/>
              <w:right w:w="100" w:type="dxa"/>
            </w:tcMar>
          </w:tcPr>
          <w:p w:rsidR="001953D6" w:rsidRDefault="00000000" w14:paraId="0A962DE7" w14:textId="77777777">
            <w:pPr>
              <w:spacing w:before="80" w:after="80"/>
              <w:jc w:val="both"/>
            </w:pPr>
            <w:r>
              <w:rPr>
                <w:color w:val="555555"/>
                <w:sz w:val="19"/>
                <w:szCs w:val="19"/>
              </w:rPr>
              <w:t>Ha acompañado al equipo de tramitadores en la transición: comunicación, formación y seguimiento.</w:t>
            </w:r>
          </w:p>
        </w:tc>
      </w:tr>
    </w:tbl>
    <w:p w:rsidR="001953D6" w:rsidRDefault="001953D6" w14:paraId="4280615B" w14:textId="77777777">
      <w:pPr>
        <w:spacing w:before="100" w:after="100"/>
      </w:pPr>
    </w:p>
    <w:p w:rsidR="001953D6" w:rsidRDefault="001953D6" w14:paraId="5223BE78" w14:textId="77777777">
      <w:pPr>
        <w:pBdr>
          <w:bottom w:val="single" w:color="D3D1C7" w:sz="1" w:space="1"/>
        </w:pBdr>
        <w:spacing w:before="200" w:after="200"/>
      </w:pPr>
    </w:p>
    <w:p w:rsidR="001953D6" w:rsidRDefault="00000000" w14:paraId="404ED657" w14:textId="77777777">
      <w:pPr>
        <w:spacing w:after="120"/>
      </w:pPr>
      <w:r>
        <w:rPr>
          <w:rFonts w:ascii="Arial" w:hAnsi="Arial" w:cs="Arial"/>
          <w:color w:val="888888"/>
          <w:sz w:val="16"/>
          <w:szCs w:val="16"/>
        </w:rPr>
        <w:t>PROYECTOS RELACIONADOS</w:t>
      </w:r>
    </w:p>
    <w:p w:rsidR="001953D6" w:rsidRDefault="00000000" w14:paraId="2B818BCB" w14:textId="77777777">
      <w:pPr>
        <w:spacing w:after="160"/>
      </w:pPr>
      <w:r>
        <w:rPr>
          <w:rFonts w:ascii="Arial" w:hAnsi="Arial" w:cs="Arial"/>
          <w:b/>
          <w:sz w:val="30"/>
          <w:szCs w:val="30"/>
        </w:rPr>
        <w:t>La información del siniestro ya conecta con el resto de la compañía</w:t>
      </w:r>
    </w:p>
    <w:tbl>
      <w:tblPr>
        <w:tblW w:w="9026" w:type="dxa"/>
        <w:tblCellMar>
          <w:left w:w="10" w:type="dxa"/>
          <w:right w:w="10" w:type="dxa"/>
        </w:tblCellMar>
        <w:tblLook w:val="04A0" w:firstRow="1" w:lastRow="0" w:firstColumn="1" w:lastColumn="0" w:noHBand="0" w:noVBand="1"/>
      </w:tblPr>
      <w:tblGrid>
        <w:gridCol w:w="9026"/>
      </w:tblGrid>
      <w:tr w:rsidR="001953D6" w14:paraId="68CAD920" w14:textId="77777777">
        <w:tblPrEx>
          <w:tblCellMar>
            <w:top w:w="0" w:type="dxa"/>
            <w:bottom w:w="0" w:type="dxa"/>
          </w:tblCellMar>
        </w:tblPrEx>
        <w:tc>
          <w:tcPr>
            <w:tcW w:w="9026" w:type="dxa"/>
            <w:tcBorders>
              <w:top w:val="single" w:color="BE2A2A" w:sz="4" w:space="0"/>
              <w:left w:val="single" w:color="BE2A2A" w:sz="18" w:space="0"/>
              <w:bottom w:val="single" w:color="BE2A2A" w:sz="4" w:space="0"/>
              <w:right w:val="single" w:color="BE2A2A" w:sz="4" w:space="0"/>
            </w:tcBorders>
            <w:shd w:val="clear" w:color="auto" w:fill="FFFFFF"/>
            <w:tcMar>
              <w:top w:w="120" w:type="dxa"/>
              <w:left w:w="200" w:type="dxa"/>
              <w:bottom w:w="120" w:type="dxa"/>
              <w:right w:w="140" w:type="dxa"/>
            </w:tcMar>
          </w:tcPr>
          <w:p w:rsidR="001953D6" w:rsidRDefault="00000000" w14:paraId="23DCA977" w14:textId="77777777">
            <w:pPr>
              <w:spacing w:before="80" w:after="60"/>
            </w:pPr>
            <w:r>
              <w:rPr>
                <w:rFonts w:ascii="Arial" w:hAnsi="Arial" w:cs="Arial"/>
                <w:b/>
                <w:sz w:val="20"/>
                <w:szCs w:val="20"/>
              </w:rPr>
              <w:t>CRM / Salesforce</w:t>
            </w:r>
          </w:p>
          <w:p w:rsidR="001953D6" w:rsidRDefault="00000000" w14:paraId="635DEEFA" w14:textId="77777777">
            <w:pPr>
              <w:spacing w:after="60"/>
            </w:pPr>
            <w:r>
              <w:rPr>
                <w:rFonts w:ascii="Arial" w:hAnsi="Arial" w:cs="Arial"/>
                <w:color w:val="BE2A2A"/>
                <w:sz w:val="17"/>
                <w:szCs w:val="17"/>
              </w:rPr>
              <w:t>Relación: Alta — crítica</w:t>
            </w:r>
          </w:p>
          <w:p w:rsidR="001953D6" w:rsidRDefault="00000000" w14:paraId="25A5E83B" w14:textId="77777777">
            <w:pPr>
              <w:spacing w:after="100"/>
              <w:jc w:val="both"/>
            </w:pPr>
            <w:r>
              <w:rPr>
                <w:color w:val="555555"/>
                <w:sz w:val="20"/>
                <w:szCs w:val="20"/>
              </w:rPr>
              <w:t>El siniestro ya no es una isla. Toda la información del expediente viaja al CRM para que quien atienda al cliente sepa exactamente en qué fase está, qué tiene pendiente y cuándo espera la resolución. El cliente que llama no tiene que explicar lo que ya ocurrió: el agente lo sabe antes de que empiece a hablar.</w:t>
            </w:r>
          </w:p>
        </w:tc>
      </w:tr>
    </w:tbl>
    <w:p w:rsidR="001953D6" w:rsidRDefault="001953D6" w14:paraId="48F89B95" w14:textId="77777777">
      <w:pPr>
        <w:spacing w:before="80"/>
      </w:pPr>
    </w:p>
    <w:tbl>
      <w:tblPr>
        <w:tblW w:w="9026" w:type="dxa"/>
        <w:tblCellMar>
          <w:left w:w="10" w:type="dxa"/>
          <w:right w:w="10" w:type="dxa"/>
        </w:tblCellMar>
        <w:tblLook w:val="04A0" w:firstRow="1" w:lastRow="0" w:firstColumn="1" w:lastColumn="0" w:noHBand="0" w:noVBand="1"/>
      </w:tblPr>
      <w:tblGrid>
        <w:gridCol w:w="9026"/>
      </w:tblGrid>
      <w:tr w:rsidR="001953D6" w14:paraId="508A03F2" w14:textId="77777777">
        <w:tblPrEx>
          <w:tblCellMar>
            <w:top w:w="0" w:type="dxa"/>
            <w:bottom w:w="0" w:type="dxa"/>
          </w:tblCellMar>
        </w:tblPrEx>
        <w:tc>
          <w:tcPr>
            <w:tcW w:w="9026" w:type="dxa"/>
            <w:tcBorders>
              <w:top w:val="single" w:color="8B6914" w:sz="4" w:space="0"/>
              <w:left w:val="single" w:color="8B6914" w:sz="18" w:space="0"/>
              <w:bottom w:val="single" w:color="8B6914" w:sz="4" w:space="0"/>
              <w:right w:val="single" w:color="8B6914" w:sz="4" w:space="0"/>
            </w:tcBorders>
            <w:shd w:val="clear" w:color="auto" w:fill="FFFFFF"/>
            <w:tcMar>
              <w:top w:w="120" w:type="dxa"/>
              <w:left w:w="200" w:type="dxa"/>
              <w:bottom w:w="120" w:type="dxa"/>
              <w:right w:w="140" w:type="dxa"/>
            </w:tcMar>
          </w:tcPr>
          <w:p w:rsidR="001953D6" w:rsidRDefault="00000000" w14:paraId="04757FBF" w14:textId="77777777">
            <w:pPr>
              <w:spacing w:before="80" w:after="60"/>
            </w:pPr>
            <w:r>
              <w:rPr>
                <w:rFonts w:ascii="Arial" w:hAnsi="Arial" w:cs="Arial"/>
                <w:b/>
                <w:sz w:val="20"/>
                <w:szCs w:val="20"/>
              </w:rPr>
              <w:t>IA en Voz y Chat</w:t>
            </w:r>
          </w:p>
          <w:p w:rsidR="001953D6" w:rsidRDefault="00000000" w14:paraId="2AB262FB" w14:textId="77777777">
            <w:pPr>
              <w:spacing w:after="60"/>
            </w:pPr>
            <w:r>
              <w:rPr>
                <w:rFonts w:ascii="Arial" w:hAnsi="Arial" w:cs="Arial"/>
                <w:color w:val="8B6914"/>
                <w:sz w:val="17"/>
                <w:szCs w:val="17"/>
              </w:rPr>
              <w:t>Relación: Media — complementario</w:t>
            </w:r>
          </w:p>
          <w:p w:rsidR="001953D6" w:rsidRDefault="00000000" w14:paraId="188C118D" w14:textId="77777777">
            <w:pPr>
              <w:spacing w:after="100"/>
              <w:jc w:val="both"/>
            </w:pPr>
            <w:r>
              <w:rPr>
                <w:color w:val="555555"/>
                <w:sz w:val="20"/>
                <w:szCs w:val="20"/>
              </w:rPr>
              <w:t>Las respuestas que da el agente conversacional cuando el cliente pregunta por su siniestro dependen de que esa información esté disponible y sea precisa. La transformación de siniestros es lo que hace que esas respuestas sean reales y no genéricas.</w:t>
            </w:r>
          </w:p>
        </w:tc>
      </w:tr>
    </w:tbl>
    <w:p w:rsidR="001953D6" w:rsidRDefault="001953D6" w14:paraId="59C63DD1" w14:textId="77777777">
      <w:pPr>
        <w:spacing w:before="200" w:after="80"/>
      </w:pPr>
    </w:p>
    <w:p w:rsidR="001953D6" w:rsidRDefault="00000000" w14:paraId="253E7223" w14:textId="77777777">
      <w:pPr>
        <w:spacing w:after="120"/>
        <w:jc w:val="both"/>
      </w:pPr>
      <w:r>
        <w:rPr>
          <w:i/>
          <w:color w:val="888888"/>
          <w:sz w:val="19"/>
          <w:szCs w:val="19"/>
        </w:rPr>
        <w:t>En siniestros motor es donde Línea Directa le demuestra al cliente que hizo bien en elegirla. Ahora tiene la operación para cumplir esa promesa siempre.</w:t>
      </w:r>
    </w:p>
    <w:p w:rsidR="001953D6" w:rsidRDefault="001953D6" w14:paraId="67AD822D" w14:textId="77777777">
      <w:pPr>
        <w:pBdr>
          <w:bottom w:val="single" w:color="D3D1C7" w:sz="1" w:space="1"/>
        </w:pBdr>
        <w:spacing w:before="280" w:after="120"/>
      </w:pPr>
    </w:p>
    <w:p w:rsidR="001953D6" w:rsidRDefault="00000000" w14:paraId="0667F3E9" w14:textId="77777777">
      <w:r>
        <w:rPr>
          <w:rFonts w:ascii="Arial" w:hAnsi="Arial" w:cs="Arial"/>
          <w:color w:val="888888"/>
          <w:sz w:val="16"/>
          <w:szCs w:val="16"/>
        </w:rPr>
        <w:t>Línea Directa Aseguradora · Documento de uso interno · Confidencial</w:t>
      </w:r>
    </w:p>
    <w:p w:rsidR="001953D6" w:rsidRDefault="001953D6" w14:paraId="5610D62A" w14:textId="77777777">
      <w:pPr>
        <w:spacing w:before="160"/>
      </w:pPr>
    </w:p>
    <w:sectPr w:rsidR="001953D6">
      <w:headerReference w:type="even" r:id="rId7"/>
      <w:headerReference w:type="default" r:id="rId8"/>
      <w:footerReference w:type="even" r:id="rId9"/>
      <w:footerReference w:type="default" r:id="rId10"/>
      <w:headerReference w:type="first" r:id="rId11"/>
      <w:footerReference w:type="first" r:id="rId12"/>
      <w:pgSz w:w="11906" w:h="16838" w:orient="portrait"/>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4FF1" w:rsidP="00E75735" w:rsidRDefault="00F44FF1" w14:paraId="75D81F08" w14:textId="77777777">
      <w:r>
        <w:separator/>
      </w:r>
    </w:p>
  </w:endnote>
  <w:endnote w:type="continuationSeparator" w:id="0">
    <w:p w:rsidR="00F44FF1" w:rsidP="00E75735" w:rsidRDefault="00F44FF1" w14:paraId="4258F6B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75735" w:rsidRDefault="00E75735" w14:paraId="3975FCBD" w14:textId="23C74110">
    <w:pPr>
      <w:pStyle w:val="Piedepgina"/>
    </w:pPr>
    <w:r>
      <w:rPr>
        <w:noProof/>
      </w:rPr>
      <mc:AlternateContent>
        <mc:Choice Requires="wps">
          <w:drawing>
            <wp:anchor distT="0" distB="0" distL="0" distR="0" simplePos="0" relativeHeight="251662336" behindDoc="0" locked="0" layoutInCell="1" allowOverlap="1" wp14:anchorId="2E17CC78" wp14:editId="3BB43728">
              <wp:simplePos x="635" y="635"/>
              <wp:positionH relativeFrom="page">
                <wp:align>center</wp:align>
              </wp:positionH>
              <wp:positionV relativeFrom="page">
                <wp:align>bottom</wp:align>
              </wp:positionV>
              <wp:extent cx="2259965" cy="314325"/>
              <wp:effectExtent l="0" t="0" r="6985" b="0"/>
              <wp:wrapNone/>
              <wp:docPr id="802603802" name="Cuadro de texto 5"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rsidRPr="00E75735" w:rsidR="00E75735" w:rsidP="00E75735" w:rsidRDefault="00E75735" w14:paraId="4A485710" w14:textId="5440EC55">
                          <w:pPr>
                            <w:rPr>
                              <w:rFonts w:ascii="Aptos" w:hAnsi="Aptos" w:eastAsia="Aptos" w:cs="Aptos"/>
                              <w:noProof/>
                              <w:color w:val="000000"/>
                              <w:sz w:val="16"/>
                              <w:szCs w:val="16"/>
                            </w:rPr>
                          </w:pPr>
                          <w:r w:rsidRPr="00E75735">
                            <w:rPr>
                              <w:rFonts w:ascii="Aptos" w:hAnsi="Aptos" w:eastAsia="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6EBE55F">
            <v:shapetype id="_x0000_t202" coordsize="21600,21600" o:spt="202" path="m,l,21600r21600,l21600,xe" w14:anchorId="2E17CC78">
              <v:stroke joinstyle="miter"/>
              <v:path gradientshapeok="t" o:connecttype="rect"/>
            </v:shapetype>
            <v:shape id="Cuadro de texto 5" style="position:absolute;margin-left:0;margin-top:0;width:177.95pt;height:24.75pt;z-index:251662336;visibility:visible;mso-wrap-style:none;mso-wrap-distance-left:0;mso-wrap-distance-top:0;mso-wrap-distance-right:0;mso-wrap-distance-bottom:0;mso-position-horizontal:center;mso-position-horizontal-relative:page;mso-position-vertical:bottom;mso-position-vertical-relative:page;v-text-anchor:bottom" alt="Uso Interno - No compartir fuera de la organización."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09k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xkbL+C+oRTORgW7i3ftFh6y3x4Zg43jIOg&#10;asMTHlJBV1I4W5Q04H7+zR/zkXiMUtKhYkpqUNKUqO8GFxLFNRpuNKpkTBf5PMe4Oeh7QB1O8UlY&#10;nkz0uqBGUzrQr6jndSyEIWY4litpNZr3YZAuvgcu1uuUhDqyLGzNzvIIHemKXL70r8zZM+EBV/UI&#10;o5xY8Y73ITfe9HZ9CMh+WkqkdiDyzDhqMK31/F6iyN/+p6zrq179Ag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CCj09kDwIA&#10;AB0EAAAOAAAAAAAAAAAAAAAAAC4CAABkcnMvZTJvRG9jLnhtbFBLAQItABQABgAIAAAAIQBd/Y0g&#10;3AAAAAQBAAAPAAAAAAAAAAAAAAAAAGkEAABkcnMvZG93bnJldi54bWxQSwUGAAAAAAQABADzAAAA&#10;cgUAAAAA&#10;">
              <v:fill o:detectmouseclick="t"/>
              <v:textbox style="mso-fit-shape-to-text:t" inset="0,0,0,15pt">
                <w:txbxContent>
                  <w:p w:rsidRPr="00E75735" w:rsidR="00E75735" w:rsidP="00E75735" w:rsidRDefault="00E75735" w14:paraId="7F78571E" w14:textId="5440EC55">
                    <w:pPr>
                      <w:rPr>
                        <w:rFonts w:ascii="Aptos" w:hAnsi="Aptos" w:eastAsia="Aptos" w:cs="Aptos"/>
                        <w:noProof/>
                        <w:color w:val="000000"/>
                        <w:sz w:val="16"/>
                        <w:szCs w:val="16"/>
                      </w:rPr>
                    </w:pPr>
                    <w:r w:rsidRPr="00E75735">
                      <w:rPr>
                        <w:rFonts w:ascii="Aptos" w:hAnsi="Aptos" w:eastAsia="Aptos" w:cs="Aptos"/>
                        <w:noProof/>
                        <w:color w:val="000000"/>
                        <w:sz w:val="16"/>
                        <w:szCs w:val="16"/>
                      </w:rPr>
                      <w:t>Uso Interno - No compartir fuera de la organización.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75735" w:rsidRDefault="00E75735" w14:paraId="50E1A877" w14:textId="3290DB86">
    <w:pPr>
      <w:pStyle w:val="Piedepgina"/>
    </w:pPr>
    <w:r>
      <w:rPr>
        <w:noProof/>
      </w:rPr>
      <mc:AlternateContent>
        <mc:Choice Requires="wps">
          <w:drawing>
            <wp:anchor distT="0" distB="0" distL="0" distR="0" simplePos="0" relativeHeight="251663360" behindDoc="0" locked="0" layoutInCell="1" allowOverlap="1" wp14:anchorId="7A4260D1" wp14:editId="73F704BD">
              <wp:simplePos x="914400" y="10087661"/>
              <wp:positionH relativeFrom="page">
                <wp:align>center</wp:align>
              </wp:positionH>
              <wp:positionV relativeFrom="page">
                <wp:align>bottom</wp:align>
              </wp:positionV>
              <wp:extent cx="2259965" cy="314325"/>
              <wp:effectExtent l="0" t="0" r="6985" b="0"/>
              <wp:wrapNone/>
              <wp:docPr id="1016003002" name="Cuadro de texto 6"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rsidRPr="00E75735" w:rsidR="00E75735" w:rsidP="00E75735" w:rsidRDefault="00E75735" w14:paraId="6CFF7968" w14:textId="1FE17ED9">
                          <w:pPr>
                            <w:rPr>
                              <w:rFonts w:ascii="Aptos" w:hAnsi="Aptos" w:eastAsia="Aptos" w:cs="Aptos"/>
                              <w:noProof/>
                              <w:color w:val="000000"/>
                              <w:sz w:val="16"/>
                              <w:szCs w:val="16"/>
                            </w:rPr>
                          </w:pPr>
                          <w:r w:rsidRPr="00E75735">
                            <w:rPr>
                              <w:rFonts w:ascii="Aptos" w:hAnsi="Aptos" w:eastAsia="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17F4384A">
            <v:shapetype id="_x0000_t202" coordsize="21600,21600" o:spt="202" path="m,l,21600r21600,l21600,xe" w14:anchorId="7A4260D1">
              <v:stroke joinstyle="miter"/>
              <v:path gradientshapeok="t" o:connecttype="rect"/>
            </v:shapetype>
            <v:shape id="Cuadro de texto 6" style="position:absolute;margin-left:0;margin-top:0;width:177.95pt;height:24.75pt;z-index:251663360;visibility:visible;mso-wrap-style:none;mso-wrap-distance-left:0;mso-wrap-distance-top:0;mso-wrap-distance-right:0;mso-wrap-distance-bottom:0;mso-position-horizontal:center;mso-position-horizontal-relative:page;mso-position-vertical:bottom;mso-position-vertical-relative:page;v-text-anchor:bottom" alt="Uso Interno - No compartir fuera de la organización."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">
              <v:fill o:detectmouseclick="t"/>
              <v:textbox style="mso-fit-shape-to-text:t" inset="0,0,0,15pt">
                <w:txbxContent>
                  <w:p w:rsidRPr="00E75735" w:rsidR="00E75735" w:rsidP="00E75735" w:rsidRDefault="00E75735" w14:paraId="2F93BF3D" w14:textId="1FE17ED9">
                    <w:pPr>
                      <w:rPr>
                        <w:rFonts w:ascii="Aptos" w:hAnsi="Aptos" w:eastAsia="Aptos" w:cs="Aptos"/>
                        <w:noProof/>
                        <w:color w:val="000000"/>
                        <w:sz w:val="16"/>
                        <w:szCs w:val="16"/>
                      </w:rPr>
                    </w:pPr>
                    <w:r w:rsidRPr="00E75735">
                      <w:rPr>
                        <w:rFonts w:ascii="Aptos" w:hAnsi="Aptos" w:eastAsia="Aptos" w:cs="Aptos"/>
                        <w:noProof/>
                        <w:color w:val="000000"/>
                        <w:sz w:val="16"/>
                        <w:szCs w:val="16"/>
                      </w:rPr>
                      <w:t>Uso Interno - No compartir fuera de la organización.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75735" w:rsidRDefault="00E75735" w14:paraId="5526A1D9" w14:textId="78665C8C">
    <w:pPr>
      <w:pStyle w:val="Piedepgina"/>
    </w:pPr>
    <w:r>
      <w:rPr>
        <w:noProof/>
      </w:rPr>
      <mc:AlternateContent>
        <mc:Choice Requires="wps">
          <w:drawing>
            <wp:anchor distT="0" distB="0" distL="0" distR="0" simplePos="0" relativeHeight="251661312" behindDoc="0" locked="0" layoutInCell="1" allowOverlap="1" wp14:anchorId="09F96EDC" wp14:editId="62FAB583">
              <wp:simplePos x="635" y="635"/>
              <wp:positionH relativeFrom="page">
                <wp:align>center</wp:align>
              </wp:positionH>
              <wp:positionV relativeFrom="page">
                <wp:align>bottom</wp:align>
              </wp:positionV>
              <wp:extent cx="2259965" cy="314325"/>
              <wp:effectExtent l="0" t="0" r="6985" b="0"/>
              <wp:wrapNone/>
              <wp:docPr id="1786444727" name="Cuadro de texto 4" descr="Uso Interno - No compartir fuera de la organizació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59965" cy="314325"/>
                      </a:xfrm>
                      <a:prstGeom prst="rect">
                        <a:avLst/>
                      </a:prstGeom>
                      <a:noFill/>
                      <a:ln>
                        <a:noFill/>
                      </a:ln>
                    </wps:spPr>
                    <wps:txbx>
                      <w:txbxContent>
                        <w:p w:rsidRPr="00E75735" w:rsidR="00E75735" w:rsidP="00E75735" w:rsidRDefault="00E75735" w14:paraId="5807BDE4" w14:textId="3C0CB157">
                          <w:pPr>
                            <w:rPr>
                              <w:rFonts w:ascii="Aptos" w:hAnsi="Aptos" w:eastAsia="Aptos" w:cs="Aptos"/>
                              <w:noProof/>
                              <w:color w:val="000000"/>
                              <w:sz w:val="16"/>
                              <w:szCs w:val="16"/>
                            </w:rPr>
                          </w:pPr>
                          <w:r w:rsidRPr="00E75735">
                            <w:rPr>
                              <w:rFonts w:ascii="Aptos" w:hAnsi="Aptos" w:eastAsia="Aptos" w:cs="Aptos"/>
                              <w:noProof/>
                              <w:color w:val="000000"/>
                              <w:sz w:val="16"/>
                              <w:szCs w:val="16"/>
                            </w:rPr>
                            <w:t>Uso Interno - No compartir fuera de la organización.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2AB924E0">
            <v:shapetype id="_x0000_t202" coordsize="21600,21600" o:spt="202" path="m,l,21600r21600,l21600,xe" w14:anchorId="09F96EDC">
              <v:stroke joinstyle="miter"/>
              <v:path gradientshapeok="t" o:connecttype="rect"/>
            </v:shapetype>
            <v:shape id="Cuadro de texto 4" style="position:absolute;margin-left:0;margin-top:0;width:177.95pt;height:24.75pt;z-index:251661312;visibility:visible;mso-wrap-style:none;mso-wrap-distance-left:0;mso-wrap-distance-top:0;mso-wrap-distance-right:0;mso-wrap-distance-bottom:0;mso-position-horizontal:center;mso-position-horizontal-relative:page;mso-position-vertical:bottom;mso-position-vertical-relative:page;v-text-anchor:bottom" alt="Uso Interno - No compartir fuera de la organización."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">
              <v:fill o:detectmouseclick="t"/>
              <v:textbox style="mso-fit-shape-to-text:t" inset="0,0,0,15pt">
                <w:txbxContent>
                  <w:p w:rsidRPr="00E75735" w:rsidR="00E75735" w:rsidP="00E75735" w:rsidRDefault="00E75735" w14:paraId="5931B256" w14:textId="3C0CB157">
                    <w:pPr>
                      <w:rPr>
                        <w:rFonts w:ascii="Aptos" w:hAnsi="Aptos" w:eastAsia="Aptos" w:cs="Aptos"/>
                        <w:noProof/>
                        <w:color w:val="000000"/>
                        <w:sz w:val="16"/>
                        <w:szCs w:val="16"/>
                      </w:rPr>
                    </w:pPr>
                    <w:r w:rsidRPr="00E75735">
                      <w:rPr>
                        <w:rFonts w:ascii="Aptos" w:hAnsi="Aptos" w:eastAsia="Aptos" w:cs="Aptos"/>
                        <w:noProof/>
                        <w:color w:val="000000"/>
                        <w:sz w:val="16"/>
                        <w:szCs w:val="16"/>
                      </w:rPr>
                      <w:t>Uso Interno - No compartir fuera de la organización.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4FF1" w:rsidP="00E75735" w:rsidRDefault="00F44FF1" w14:paraId="22B1D998" w14:textId="77777777">
      <w:r>
        <w:separator/>
      </w:r>
    </w:p>
  </w:footnote>
  <w:footnote w:type="continuationSeparator" w:id="0">
    <w:p w:rsidR="00F44FF1" w:rsidP="00E75735" w:rsidRDefault="00F44FF1" w14:paraId="31B39B2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75735" w:rsidRDefault="00E75735" w14:paraId="0374340F" w14:textId="24C2805A">
    <w:pPr>
      <w:pStyle w:val="Encabezado"/>
    </w:pPr>
    <w:r>
      <w:rPr>
        <w:noProof/>
      </w:rPr>
      <mc:AlternateContent>
        <mc:Choice Requires="wps">
          <w:drawing>
            <wp:anchor distT="0" distB="0" distL="0" distR="0" simplePos="0" relativeHeight="251659264" behindDoc="0" locked="0" layoutInCell="1" allowOverlap="1" wp14:anchorId="54C2C945" wp14:editId="4808CA04">
              <wp:simplePos x="635" y="635"/>
              <wp:positionH relativeFrom="page">
                <wp:align>left</wp:align>
              </wp:positionH>
              <wp:positionV relativeFrom="page">
                <wp:align>top</wp:align>
              </wp:positionV>
              <wp:extent cx="647700" cy="345440"/>
              <wp:effectExtent l="0" t="0" r="0" b="16510"/>
              <wp:wrapNone/>
              <wp:docPr id="1872341476" name="Cuadro de texto 2"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E75735" w:rsidR="00E75735" w:rsidP="00E75735" w:rsidRDefault="00E75735" w14:paraId="2CBE0063" w14:textId="1021AB3D">
                          <w:pPr>
                            <w:rPr>
                              <w:rFonts w:ascii="Aptos" w:hAnsi="Aptos" w:eastAsia="Aptos" w:cs="Aptos"/>
                              <w:noProof/>
                              <w:color w:val="000000"/>
                              <w:sz w:val="20"/>
                              <w:szCs w:val="20"/>
                            </w:rPr>
                          </w:pPr>
                          <w:r w:rsidRPr="00E75735">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5C5B3392">
            <v:shapetype id="_x0000_t202" coordsize="21600,21600" o:spt="202" path="m,l,21600r21600,l21600,xe" w14:anchorId="54C2C945">
              <v:stroke joinstyle="miter"/>
              <v:path gradientshapeok="t" o:connecttype="rect"/>
            </v:shapetype>
            <v:shape id="Cuadro de texto 2" style="position:absolute;margin-left:0;margin-top:0;width:51pt;height:27.2pt;z-index:251659264;visibility:visible;mso-wrap-style:none;mso-wrap-distance-left:0;mso-wrap-distance-top:0;mso-wrap-distance-right:0;mso-wrap-distance-bottom:0;mso-position-horizontal:left;mso-position-horizontal-relative:page;mso-position-vertical:top;mso-position-vertical-relative:page;v-text-anchor:top" alt="Interno"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">
              <v:fill o:detectmouseclick="t"/>
              <v:textbox style="mso-fit-shape-to-text:t" inset="20pt,15pt,0,0">
                <w:txbxContent>
                  <w:p w:rsidRPr="00E75735" w:rsidR="00E75735" w:rsidP="00E75735" w:rsidRDefault="00E75735" w14:paraId="2DD94046" w14:textId="1021AB3D">
                    <w:pPr>
                      <w:rPr>
                        <w:rFonts w:ascii="Aptos" w:hAnsi="Aptos" w:eastAsia="Aptos" w:cs="Aptos"/>
                        <w:noProof/>
                        <w:color w:val="000000"/>
                        <w:sz w:val="20"/>
                        <w:szCs w:val="20"/>
                      </w:rPr>
                    </w:pPr>
                    <w:r w:rsidRPr="00E75735">
                      <w:rPr>
                        <w:rFonts w:ascii="Aptos" w:hAnsi="Aptos" w:eastAsia="Aptos" w:cs="Aptos"/>
                        <w:noProof/>
                        <w:color w:val="000000"/>
                        <w:sz w:val="20"/>
                        <w:szCs w:val="20"/>
                      </w:rPr>
                      <w:t>Interno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75735" w:rsidRDefault="00E75735" w14:paraId="75982358" w14:textId="3051CD34">
    <w:pPr>
      <w:pStyle w:val="Encabezado"/>
    </w:pPr>
    <w:r>
      <w:rPr>
        <w:noProof/>
      </w:rPr>
      <mc:AlternateContent>
        <mc:Choice Requires="wps">
          <w:drawing>
            <wp:anchor distT="0" distB="0" distL="0" distR="0" simplePos="0" relativeHeight="251660288" behindDoc="0" locked="0" layoutInCell="1" allowOverlap="1" wp14:anchorId="4D3A1377" wp14:editId="0D3F5BC6">
              <wp:simplePos x="914400" y="453542"/>
              <wp:positionH relativeFrom="page">
                <wp:align>left</wp:align>
              </wp:positionH>
              <wp:positionV relativeFrom="page">
                <wp:align>top</wp:align>
              </wp:positionV>
              <wp:extent cx="647700" cy="345440"/>
              <wp:effectExtent l="0" t="0" r="0" b="16510"/>
              <wp:wrapNone/>
              <wp:docPr id="1651513546" name="Cuadro de texto 3"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E75735" w:rsidR="00E75735" w:rsidP="00E75735" w:rsidRDefault="00E75735" w14:paraId="40D3FC79" w14:textId="1F898FD1">
                          <w:pPr>
                            <w:rPr>
                              <w:rFonts w:ascii="Aptos" w:hAnsi="Aptos" w:eastAsia="Aptos" w:cs="Aptos"/>
                              <w:noProof/>
                              <w:color w:val="000000"/>
                              <w:sz w:val="20"/>
                              <w:szCs w:val="20"/>
                            </w:rPr>
                          </w:pPr>
                          <w:r w:rsidRPr="00E75735">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4DA875F4">
            <v:shapetype id="_x0000_t202" coordsize="21600,21600" o:spt="202" path="m,l,21600r21600,l21600,xe" w14:anchorId="4D3A1377">
              <v:stroke joinstyle="miter"/>
              <v:path gradientshapeok="t" o:connecttype="rect"/>
            </v:shapetype>
            <v:shape id="Cuadro de texto 3" style="position:absolute;margin-left:0;margin-top:0;width:51pt;height:27.2pt;z-index:251660288;visibility:visible;mso-wrap-style:none;mso-wrap-distance-left:0;mso-wrap-distance-top:0;mso-wrap-distance-right:0;mso-wrap-distance-bottom:0;mso-position-horizontal:left;mso-position-horizontal-relative:page;mso-position-vertical:top;mso-position-vertical-relative:page;v-text-anchor:top" alt="Interno"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">
              <v:fill o:detectmouseclick="t"/>
              <v:textbox style="mso-fit-shape-to-text:t" inset="20pt,15pt,0,0">
                <w:txbxContent>
                  <w:p w:rsidRPr="00E75735" w:rsidR="00E75735" w:rsidP="00E75735" w:rsidRDefault="00E75735" w14:paraId="40430154" w14:textId="1F898FD1">
                    <w:pPr>
                      <w:rPr>
                        <w:rFonts w:ascii="Aptos" w:hAnsi="Aptos" w:eastAsia="Aptos" w:cs="Aptos"/>
                        <w:noProof/>
                        <w:color w:val="000000"/>
                        <w:sz w:val="20"/>
                        <w:szCs w:val="20"/>
                      </w:rPr>
                    </w:pPr>
                    <w:r w:rsidRPr="00E75735">
                      <w:rPr>
                        <w:rFonts w:ascii="Aptos" w:hAnsi="Aptos" w:eastAsia="Aptos" w:cs="Aptos"/>
                        <w:noProof/>
                        <w:color w:val="000000"/>
                        <w:sz w:val="20"/>
                        <w:szCs w:val="20"/>
                      </w:rPr>
                      <w:t>Interno</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E75735" w:rsidRDefault="00E75735" w14:paraId="58EA40FC" w14:textId="71F4F90C">
    <w:pPr>
      <w:pStyle w:val="Encabezado"/>
    </w:pPr>
    <w:r>
      <w:rPr>
        <w:noProof/>
      </w:rPr>
      <mc:AlternateContent>
        <mc:Choice Requires="wps">
          <w:drawing>
            <wp:anchor distT="0" distB="0" distL="0" distR="0" simplePos="0" relativeHeight="251658240" behindDoc="0" locked="0" layoutInCell="1" allowOverlap="1" wp14:anchorId="5E032B88" wp14:editId="7F987391">
              <wp:simplePos x="635" y="635"/>
              <wp:positionH relativeFrom="page">
                <wp:align>left</wp:align>
              </wp:positionH>
              <wp:positionV relativeFrom="page">
                <wp:align>top</wp:align>
              </wp:positionV>
              <wp:extent cx="647700" cy="345440"/>
              <wp:effectExtent l="0" t="0" r="0" b="16510"/>
              <wp:wrapNone/>
              <wp:docPr id="624847980" name="Cuadro de texto 1" descr="Intern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47700" cy="345440"/>
                      </a:xfrm>
                      <a:prstGeom prst="rect">
                        <a:avLst/>
                      </a:prstGeom>
                      <a:noFill/>
                      <a:ln>
                        <a:noFill/>
                      </a:ln>
                    </wps:spPr>
                    <wps:txbx>
                      <w:txbxContent>
                        <w:p w:rsidRPr="00E75735" w:rsidR="00E75735" w:rsidP="00E75735" w:rsidRDefault="00E75735" w14:paraId="25C851B1" w14:textId="10F2BEFB">
                          <w:pPr>
                            <w:rPr>
                              <w:rFonts w:ascii="Aptos" w:hAnsi="Aptos" w:eastAsia="Aptos" w:cs="Aptos"/>
                              <w:noProof/>
                              <w:color w:val="000000"/>
                              <w:sz w:val="20"/>
                              <w:szCs w:val="20"/>
                            </w:rPr>
                          </w:pPr>
                          <w:r w:rsidRPr="00E75735">
                            <w:rPr>
                              <w:rFonts w:ascii="Aptos" w:hAnsi="Aptos" w:eastAsia="Aptos" w:cs="Aptos"/>
                              <w:noProof/>
                              <w:color w:val="000000"/>
                              <w:sz w:val="20"/>
                              <w:szCs w:val="20"/>
                            </w:rPr>
                            <w:t>Interno</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615D3FE2">
            <v:shapetype id="_x0000_t202" coordsize="21600,21600" o:spt="202" path="m,l,21600r21600,l21600,xe" w14:anchorId="5E032B88">
              <v:stroke joinstyle="miter"/>
              <v:path gradientshapeok="t" o:connecttype="rect"/>
            </v:shapetype>
            <v:shape id="Cuadro de texto 1" style="position:absolute;margin-left:0;margin-top:0;width:51pt;height:27.2pt;z-index:251658240;visibility:visible;mso-wrap-style:none;mso-wrap-distance-left:0;mso-wrap-distance-top:0;mso-wrap-distance-right:0;mso-wrap-distance-bottom:0;mso-position-horizontal:left;mso-position-horizontal-relative:page;mso-position-vertical:top;mso-position-vertical-relative:page;v-text-anchor:top" alt="Interno"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">
              <v:fill o:detectmouseclick="t"/>
              <v:textbox style="mso-fit-shape-to-text:t" inset="20pt,15pt,0,0">
                <w:txbxContent>
                  <w:p w:rsidRPr="00E75735" w:rsidR="00E75735" w:rsidP="00E75735" w:rsidRDefault="00E75735" w14:paraId="018CF006" w14:textId="10F2BEFB">
                    <w:pPr>
                      <w:rPr>
                        <w:rFonts w:ascii="Aptos" w:hAnsi="Aptos" w:eastAsia="Aptos" w:cs="Aptos"/>
                        <w:noProof/>
                        <w:color w:val="000000"/>
                        <w:sz w:val="20"/>
                        <w:szCs w:val="20"/>
                      </w:rPr>
                    </w:pPr>
                    <w:r w:rsidRPr="00E75735">
                      <w:rPr>
                        <w:rFonts w:ascii="Aptos" w:hAnsi="Aptos" w:eastAsia="Aptos" w:cs="Aptos"/>
                        <w:noProof/>
                        <w:color w:val="000000"/>
                        <w:sz w:val="20"/>
                        <w:szCs w:val="20"/>
                      </w:rPr>
                      <w:t>Interno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1C5EDB"/>
    <w:multiLevelType w:val="hybridMultilevel"/>
    <w:tmpl w:val="98F6881C"/>
    <w:lvl w:ilvl="0" w:tplc="0074E34A">
      <w:start w:val="1"/>
      <w:numFmt w:val="bullet"/>
      <w:lvlText w:val="●"/>
      <w:lvlJc w:val="left"/>
      <w:pPr>
        <w:ind w:left="720" w:hanging="360"/>
      </w:pPr>
    </w:lvl>
    <w:lvl w:ilvl="1" w:tplc="341A2A1A">
      <w:start w:val="1"/>
      <w:numFmt w:val="bullet"/>
      <w:lvlText w:val="○"/>
      <w:lvlJc w:val="left"/>
      <w:pPr>
        <w:ind w:left="1440" w:hanging="360"/>
      </w:pPr>
    </w:lvl>
    <w:lvl w:ilvl="2" w:tplc="80501986">
      <w:start w:val="1"/>
      <w:numFmt w:val="bullet"/>
      <w:lvlText w:val="■"/>
      <w:lvlJc w:val="left"/>
      <w:pPr>
        <w:ind w:left="2160" w:hanging="360"/>
      </w:pPr>
    </w:lvl>
    <w:lvl w:ilvl="3" w:tplc="736C73B4">
      <w:start w:val="1"/>
      <w:numFmt w:val="bullet"/>
      <w:lvlText w:val="●"/>
      <w:lvlJc w:val="left"/>
      <w:pPr>
        <w:ind w:left="2880" w:hanging="360"/>
      </w:pPr>
    </w:lvl>
    <w:lvl w:ilvl="4" w:tplc="54DC007C">
      <w:start w:val="1"/>
      <w:numFmt w:val="bullet"/>
      <w:lvlText w:val="○"/>
      <w:lvlJc w:val="left"/>
      <w:pPr>
        <w:ind w:left="3600" w:hanging="360"/>
      </w:pPr>
    </w:lvl>
    <w:lvl w:ilvl="5" w:tplc="FEF481D8">
      <w:start w:val="1"/>
      <w:numFmt w:val="bullet"/>
      <w:lvlText w:val="■"/>
      <w:lvlJc w:val="left"/>
      <w:pPr>
        <w:ind w:left="4320" w:hanging="360"/>
      </w:pPr>
    </w:lvl>
    <w:lvl w:ilvl="6" w:tplc="AD4CDCB8">
      <w:start w:val="1"/>
      <w:numFmt w:val="bullet"/>
      <w:lvlText w:val="●"/>
      <w:lvlJc w:val="left"/>
      <w:pPr>
        <w:ind w:left="5040" w:hanging="360"/>
      </w:pPr>
    </w:lvl>
    <w:lvl w:ilvl="7" w:tplc="278CB298">
      <w:start w:val="1"/>
      <w:numFmt w:val="bullet"/>
      <w:lvlText w:val="●"/>
      <w:lvlJc w:val="left"/>
      <w:pPr>
        <w:ind w:left="5760" w:hanging="360"/>
      </w:pPr>
    </w:lvl>
    <w:lvl w:ilvl="8" w:tplc="0A34CF34">
      <w:start w:val="1"/>
      <w:numFmt w:val="bullet"/>
      <w:lvlText w:val="●"/>
      <w:lvlJc w:val="left"/>
      <w:pPr>
        <w:ind w:left="6480" w:hanging="360"/>
      </w:pPr>
    </w:lvl>
  </w:abstractNum>
  <w:num w:numId="1" w16cid:durableId="295919008">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3D6"/>
    <w:rsid w:val="00000000"/>
    <w:rsid w:val="001953D6"/>
    <w:rsid w:val="004459D6"/>
    <w:rsid w:val="006969E7"/>
    <w:rsid w:val="00E75735"/>
    <w:rsid w:val="00F44FF1"/>
    <w:rsid w:val="0CB6ABCB"/>
    <w:rsid w:val="48B6498C"/>
    <w:rsid w:val="5D526F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A4A4"/>
  <w15:docId w15:val="{82C41F0C-3B21-4B4F-9F88-EF519054FD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Georgia" w:hAnsi="Georgia" w:eastAsia="Georgia" w:cs="Georgia"/>
        <w:color w:val="2C2C2A"/>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styleId="TextonotaalfinalCar" w:customStyle="1">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75735"/>
    <w:pPr>
      <w:tabs>
        <w:tab w:val="center" w:pos="4252"/>
        <w:tab w:val="right" w:pos="8504"/>
      </w:tabs>
    </w:pPr>
  </w:style>
  <w:style w:type="character" w:styleId="EncabezadoCar" w:customStyle="1">
    <w:name w:val="Encabezado Car"/>
    <w:basedOn w:val="Fuentedeprrafopredeter"/>
    <w:link w:val="Encabezado"/>
    <w:uiPriority w:val="99"/>
    <w:rsid w:val="00E75735"/>
  </w:style>
  <w:style w:type="paragraph" w:styleId="Piedepgina">
    <w:name w:val="footer"/>
    <w:basedOn w:val="Normal"/>
    <w:link w:val="PiedepginaCar"/>
    <w:uiPriority w:val="99"/>
    <w:unhideWhenUsed/>
    <w:rsid w:val="00E75735"/>
    <w:pPr>
      <w:tabs>
        <w:tab w:val="center" w:pos="4252"/>
        <w:tab w:val="right" w:pos="8504"/>
      </w:tabs>
    </w:pPr>
  </w:style>
  <w:style w:type="character" w:styleId="PiedepginaCar" w:customStyle="1">
    <w:name w:val="Pie de página Car"/>
    <w:basedOn w:val="Fuentedeprrafopredeter"/>
    <w:link w:val="Piedepgina"/>
    <w:uiPriority w:val="99"/>
    <w:rsid w:val="00E757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BB309973A6DE44A1BFE5432371160D" ma:contentTypeVersion="10" ma:contentTypeDescription="Crear nuevo documento." ma:contentTypeScope="" ma:versionID="b0825f9c35a7c3854605de53a3c7ae9f">
  <xsd:schema xmlns:xsd="http://www.w3.org/2001/XMLSchema" xmlns:xs="http://www.w3.org/2001/XMLSchema" xmlns:p="http://schemas.microsoft.com/office/2006/metadata/properties" xmlns:ns2="04193494-f6b7-4b38-ba18-ede97f73ccfd" targetNamespace="http://schemas.microsoft.com/office/2006/metadata/properties" ma:root="true" ma:fieldsID="3035e4646904acacf692b0a8489d90cc" ns2:_="">
    <xsd:import namespace="04193494-f6b7-4b38-ba18-ede97f73cc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193494-f6b7-4b38-ba18-ede97f73c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93ba224-6a42-47cf-994a-bd0f2c22a18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4193494-f6b7-4b38-ba18-ede97f73cc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9B5CD7-8347-4D60-A33C-64E0E0F60A67}"/>
</file>

<file path=customXml/itemProps2.xml><?xml version="1.0" encoding="utf-8"?>
<ds:datastoreItem xmlns:ds="http://schemas.openxmlformats.org/officeDocument/2006/customXml" ds:itemID="{DEBAA954-2C74-4A3A-8821-7FE79375D10A}"/>
</file>

<file path=customXml/itemProps3.xml><?xml version="1.0" encoding="utf-8"?>
<ds:datastoreItem xmlns:ds="http://schemas.openxmlformats.org/officeDocument/2006/customXml" ds:itemID="{2A6BC3D0-CFA7-4761-8F18-CE6EAAEA150D}"/>
</file>

<file path=docMetadata/LabelInfo.xml><?xml version="1.0" encoding="utf-8"?>
<clbl:labelList xmlns:clbl="http://schemas.microsoft.com/office/2020/mipLabelMetadata">
  <clbl:label id="{83661b87-7810-4813-8bd9-dd2ee6a65052}" enabled="1" method="Standard" siteId="{223943b3-0f38-442c-90e3-00f9c3b6b43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ISABEL GUZMAN LILLO</cp:lastModifiedBy>
  <cp:revision>6</cp:revision>
  <dcterms:created xsi:type="dcterms:W3CDTF">2026-06-09T09:30:00Z</dcterms:created>
  <dcterms:modified xsi:type="dcterms:W3CDTF">2026-06-21T10:00:20Z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253e6c6c,6f99a9e4,627018ca</vt:lpwstr>
  </property>
  <property fmtid="{D5CDD505-2E9C-101B-9397-08002B2CF9AE}" pid="3" name="ClassificationContentMarkingHeaderFontProps">
    <vt:lpwstr>#000000,10,Aptos</vt:lpwstr>
  </property>
  <property fmtid="{D5CDD505-2E9C-101B-9397-08002B2CF9AE}" pid="4" name="ClassificationContentMarkingHeaderText">
    <vt:lpwstr>Interno</vt:lpwstr>
  </property>
  <property fmtid="{D5CDD505-2E9C-101B-9397-08002B2CF9AE}" pid="5" name="ClassificationContentMarkingFooterShapeIds">
    <vt:lpwstr>6a7afbb7,2fd6c31a,3c8ef9ba</vt:lpwstr>
  </property>
  <property fmtid="{D5CDD505-2E9C-101B-9397-08002B2CF9AE}" pid="6" name="ClassificationContentMarkingFooterFontProps">
    <vt:lpwstr>#000000,8,Aptos</vt:lpwstr>
  </property>
  <property fmtid="{D5CDD505-2E9C-101B-9397-08002B2CF9AE}" pid="7" name="ClassificationContentMarkingFooterText">
    <vt:lpwstr>Uso Interno - No compartir fuera de la organización.</vt:lpwstr>
  </property>
  <property fmtid="{D5CDD505-2E9C-101B-9397-08002B2CF9AE}" pid="8" name="ContentTypeId">
    <vt:lpwstr>0x010100C8BB309973A6DE44A1BFE5432371160D</vt:lpwstr>
  </property>
</Properties>
</file>