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334D" w:rsidP="0032334D" w:rsidRDefault="0032334D" w14:paraId="5250713B" w14:textId="77777777">
      <w:pPr>
        <w:spacing w:after="60"/>
      </w:pPr>
      <w:r>
        <w:rPr>
          <w:rFonts w:ascii="Arial" w:hAnsi="Arial" w:cs="Arial"/>
          <w:color w:val="888888"/>
          <w:sz w:val="16"/>
          <w:szCs w:val="16"/>
        </w:rPr>
        <w:t>PARA USO INTERNO · CONFIDENCIAL · DOCUMENTO PRESS RELEASE</w:t>
      </w:r>
    </w:p>
    <w:p w:rsidR="0032334D" w:rsidP="0032334D" w:rsidRDefault="0032334D" w14:paraId="7314BAF9" w14:textId="77777777">
      <w:pPr>
        <w:spacing w:after="120"/>
      </w:pPr>
      <w:r>
        <w:rPr>
          <w:rFonts w:ascii="Arial" w:hAnsi="Arial" w:cs="Arial"/>
          <w:color w:val="555555"/>
          <w:sz w:val="18"/>
          <w:szCs w:val="18"/>
        </w:rPr>
        <w:t>Versión 2.0 — Relanzamiento del negocio de Salud</w:t>
      </w:r>
    </w:p>
    <w:p w:rsidR="0032334D" w:rsidP="0032334D" w:rsidRDefault="0032334D" w14:paraId="7D55DACA" w14:textId="77777777">
      <w:pPr>
        <w:spacing w:after="160"/>
      </w:pPr>
      <w:r>
        <w:rPr>
          <w:rFonts w:ascii="Arial" w:hAnsi="Arial" w:cs="Arial"/>
          <w:b/>
          <w:sz w:val="38"/>
          <w:szCs w:val="38"/>
        </w:rPr>
        <w:t>Línea Directa relanza su negocio de salud de la mano de HNA: mejor cuadro médico, medicina online integrada, autorizaciones instantáneas y reembolsos en el día</w:t>
      </w:r>
    </w:p>
    <w:p w:rsidR="0032334D" w:rsidP="0032334D" w:rsidRDefault="0032334D" w14:paraId="61B76CCB" w14:textId="77777777">
      <w:pPr>
        <w:spacing w:after="200"/>
      </w:pPr>
      <w:r>
        <w:rPr>
          <w:i/>
          <w:color w:val="555555"/>
          <w:sz w:val="24"/>
          <w:szCs w:val="24"/>
        </w:rPr>
        <w:t>El seguro de salud de Línea Directa ha dado un salto cualitativo. No es un cambio de proveedor: es una nueva propuesta de valor para los 75.000 asegurados que ya confían en nosotros, y para todos los que aún no lo han hecho.</w:t>
      </w:r>
    </w:p>
    <w:p w:rsidR="0032334D" w:rsidP="0032334D" w:rsidRDefault="0032334D" w14:paraId="54D599DC" w14:textId="77777777">
      <w:pPr>
        <w:pBdr>
          <w:bottom w:val="single" w:color="D3D1C7" w:sz="1" w:space="1"/>
        </w:pBdr>
        <w:spacing w:after="240"/>
      </w:pPr>
    </w:p>
    <w:p w:rsidR="0032334D" w:rsidP="0032334D" w:rsidRDefault="0032334D" w14:paraId="217C7F44" w14:textId="77777777">
      <w:pPr>
        <w:spacing w:after="200"/>
      </w:pPr>
      <w:r>
        <w:rPr>
          <w:rFonts w:ascii="Arial" w:hAnsi="Arial" w:cs="Arial"/>
          <w:color w:val="888888"/>
          <w:sz w:val="18"/>
          <w:szCs w:val="18"/>
        </w:rPr>
        <w:t>Madrid, 2026 — Para distribución interna inmediata</w:t>
      </w:r>
    </w:p>
    <w:p w:rsidR="0032334D" w:rsidP="0032334D" w:rsidRDefault="0032334D" w14:paraId="402B0E39" w14:textId="77777777">
      <w:pPr>
        <w:spacing w:after="180"/>
        <w:jc w:val="both"/>
      </w:pPr>
      <w:r>
        <w:t>Línea Directa ha transformado su propuesta de valor en el ramo de salud. Con HNA como nuevo proveedor de gestión asistencial, la compañía ha relanzado un producto que combina el mejor cuadro médico y grupos hospitalarios del mercado con capacidades digitales e inteligencia artificial que ponen el servicio de salud en el bolsillo del asegurado. La ambición declarada: ser la referencia del mercado en calidad de servicio de salud para una aseguradora de carácter directo.</w:t>
      </w:r>
    </w:p>
    <w:p w:rsidR="0032334D" w:rsidP="0032334D" w:rsidRDefault="0032334D" w14:paraId="4ECD753A" w14:textId="77777777">
      <w:pPr>
        <w:spacing w:after="180"/>
        <w:jc w:val="both"/>
      </w:pPr>
      <w:r>
        <w:t xml:space="preserve">El proyecto se ha articulado en tres ejes simultáneos. El primero es la transformación del modelo asistencial: la medicina online deja de ser un complemento y pasa a ser parte integral del tratamiento. El asegurado puede hacer el seguimiento de sus prescripciones, obtener una consulta de </w:t>
      </w:r>
      <w:proofErr w:type="spellStart"/>
      <w:r>
        <w:t>triaje</w:t>
      </w:r>
      <w:proofErr w:type="spellEnd"/>
      <w:r>
        <w:t xml:space="preserve"> para saber a qué especialista acudir, acelerar la autorización de pruebas o renovar un tratamiento crónico sin necesidad de una visita presencial innecesaria. Lo presencial y lo digital se complementan en un modelo coherente donde el médico tiene visión completa de la historia del paciente en cualquier canal.</w:t>
      </w:r>
    </w:p>
    <w:p w:rsidR="0032334D" w:rsidP="0032334D" w:rsidRDefault="0032334D" w14:paraId="3B1707B7" w14:textId="77777777">
      <w:pPr>
        <w:spacing w:after="180"/>
        <w:jc w:val="both"/>
      </w:pPr>
      <w:r>
        <w:t>El segundo eje es la modernización digital con inteligencia artificial en los procesos clave. Las autorizaciones ahora se pueden solicitar por múltiples canales —</w:t>
      </w:r>
      <w:proofErr w:type="gramStart"/>
      <w:r>
        <w:t>app</w:t>
      </w:r>
      <w:proofErr w:type="gramEnd"/>
      <w:r>
        <w:t xml:space="preserve">, web, teléfono o chat— y el 80% se resuelven en tiempo real gracias a modelos de IA que evalúan instantáneamente si la prestación está cubierta. Los reembolsos de gastos se procesan en el mismo día, sin papeleo. Un asistente virtual permite concertar citas de forma cómoda y rápida a cualquier hora. Y los pacientes con enfermedades crónicas cuentan con un asistente de seguimiento que </w:t>
      </w:r>
      <w:proofErr w:type="gramStart"/>
      <w:r>
        <w:t>les</w:t>
      </w:r>
      <w:proofErr w:type="gramEnd"/>
      <w:r>
        <w:t xml:space="preserve"> acompaña en la gestión de su condición sin tener que llamar cada vez que necesitan renovar una receta o confirmar un seguimiento.</w:t>
      </w:r>
    </w:p>
    <w:p w:rsidR="0032334D" w:rsidP="0032334D" w:rsidRDefault="0032334D" w14:paraId="7D8FC28E" w14:textId="77777777">
      <w:pPr>
        <w:spacing w:after="220"/>
        <w:jc w:val="both"/>
      </w:pPr>
      <w:r>
        <w:t>El tercer eje es la evolución de la propuesta de valor: coberturas innovadoras que responden a las necesidades reales de los asegurados de hoy, y servicios que van más allá de la asistencia tradicional. Entre ellos, un programa que vincula la actividad física y los hábitos saludables del asegurado con su prima, reconociendo con un precio más competitivo a quien cuida de su salud de forma activa.</w:t>
      </w:r>
    </w:p>
    <w:tbl>
      <w:tblPr>
        <w:tblW w:w="9026" w:type="dxa"/>
        <w:tblCellMar>
          <w:left w:w="10" w:type="dxa"/>
          <w:right w:w="10" w:type="dxa"/>
        </w:tblCellMar>
        <w:tblLook w:val="0000" w:firstRow="0" w:lastRow="0" w:firstColumn="0" w:lastColumn="0" w:noHBand="0" w:noVBand="0"/>
      </w:tblPr>
      <w:tblGrid>
        <w:gridCol w:w="9026"/>
      </w:tblGrid>
      <w:tr w:rsidR="0032334D" w:rsidTr="008D2625" w14:paraId="7A638A20" w14:textId="77777777">
        <w:tblPrEx>
          <w:tblCellMar>
            <w:top w:w="0" w:type="dxa"/>
            <w:bottom w:w="0" w:type="dxa"/>
          </w:tblCellMar>
        </w:tblPrEx>
        <w:tc>
          <w:tcPr>
            <w:tcW w:w="9026" w:type="dxa"/>
            <w:tcBorders>
              <w:left w:val="single" w:color="B4B2A9" w:sz="18" w:space="0"/>
            </w:tcBorders>
            <w:shd w:val="clear" w:color="auto" w:fill="F8F7F4"/>
            <w:tcMar>
              <w:top w:w="160" w:type="dxa"/>
              <w:left w:w="280" w:type="dxa"/>
              <w:bottom w:w="120" w:type="dxa"/>
              <w:right w:w="200" w:type="dxa"/>
            </w:tcMar>
          </w:tcPr>
          <w:p w:rsidR="0032334D" w:rsidP="008D2625" w:rsidRDefault="0032334D" w14:paraId="0F27C1F1" w14:textId="77777777">
            <w:pPr>
              <w:spacing w:after="60"/>
              <w:jc w:val="both"/>
            </w:pPr>
            <w:r>
              <w:rPr>
                <w:i/>
                <w:color w:val="555555"/>
                <w:sz w:val="21"/>
                <w:szCs w:val="21"/>
              </w:rPr>
              <w:t>“Nuestro asegurado de salud merecía un salto, no una actualización. Un seguro donde pedir cita no implique esperar en una línea de teléfono; donde la autorización de una prueba llegue en segundos, no en días; donde el médico que te atiende online sepa lo que te recetó el especialista presencial. Eso es lo que hemos construido.”</w:t>
            </w:r>
          </w:p>
          <w:p w:rsidR="0032334D" w:rsidP="008D2625" w:rsidRDefault="0032334D" w14:paraId="0347F3E0" w14:textId="77777777">
            <w:pPr>
              <w:spacing w:before="60"/>
            </w:pPr>
            <w:r>
              <w:rPr>
                <w:rFonts w:ascii="Arial" w:hAnsi="Arial" w:cs="Arial"/>
                <w:color w:val="888888"/>
                <w:sz w:val="17"/>
                <w:szCs w:val="17"/>
              </w:rPr>
              <w:t xml:space="preserve">— </w:t>
            </w:r>
            <w:proofErr w:type="gramStart"/>
            <w:r>
              <w:rPr>
                <w:rFonts w:ascii="Arial" w:hAnsi="Arial" w:cs="Arial"/>
                <w:color w:val="888888"/>
                <w:sz w:val="17"/>
                <w:szCs w:val="17"/>
              </w:rPr>
              <w:t>Director</w:t>
            </w:r>
            <w:proofErr w:type="gramEnd"/>
            <w:r>
              <w:rPr>
                <w:rFonts w:ascii="Arial" w:hAnsi="Arial" w:cs="Arial"/>
                <w:color w:val="888888"/>
                <w:sz w:val="17"/>
                <w:szCs w:val="17"/>
              </w:rPr>
              <w:t xml:space="preserve"> de Negocio de Salud, Línea Directa Aseguradora</w:t>
            </w:r>
          </w:p>
        </w:tc>
      </w:tr>
    </w:tbl>
    <w:p w:rsidR="0032334D" w:rsidP="0032334D" w:rsidRDefault="0032334D" w14:paraId="57B6DED8" w14:textId="77777777">
      <w:pPr>
        <w:spacing w:before="200"/>
      </w:pPr>
    </w:p>
    <w:p w:rsidR="0032334D" w:rsidP="0032334D" w:rsidRDefault="0032334D" w14:paraId="1D8FE08F" w14:textId="77777777">
      <w:pPr>
        <w:spacing w:after="180"/>
        <w:jc w:val="both"/>
      </w:pPr>
      <w:r>
        <w:lastRenderedPageBreak/>
        <w:t>Una ambición de esta magnitud solo puede ejecutarse bien si se hace en el orden correcto. Salud es un ramo donde no hay margen para errores con los clientes: un fallo en el acceso a la asistencia o en la gestión de una autorización en un momento crítico no es una incidencia —es una ruptura de confianza que en salud tiene consecuencias que van más allá de la cancelación de la póliza. Por eso el proyecto se ha faseado con una premisa no negociable: primero, una transición impecable que garantice la continuidad absoluta del servicio sin que el asegurado note ningún impacto negativo. Cuadro médico sin pérdidas, los procesos de autorización y asistencia han continuado sin interrupción, y cualquier diferencia que el cliente pudiera percibir ha sido comunicada proactivamente antes de que ocurriera.</w:t>
      </w:r>
    </w:p>
    <w:p w:rsidR="0032334D" w:rsidP="0032334D" w:rsidRDefault="0032334D" w14:paraId="33A68A7E" w14:textId="77777777">
      <w:pPr>
        <w:spacing w:after="180"/>
        <w:jc w:val="both"/>
      </w:pPr>
      <w:r>
        <w:t>Con la transición consolidada, la segunda fase libera todo el potencial de la nueva plataforma. Las capacidades de IA, el modelo asistencial integrado, los nuevos servicios digitales y las coberturas innovadoras se despliegan de forma incremental, midiendo el impacto en cada paso y ajustando en función de cómo responden los asegurados. La ambición máxima no se consigue en un día: se construye sobre una base sólida de confianza que la fase de transición ha garantizado.</w:t>
      </w:r>
    </w:p>
    <w:p w:rsidR="0032334D" w:rsidP="0032334D" w:rsidRDefault="0032334D" w14:paraId="171BD4A0" w14:textId="77777777">
      <w:pPr>
        <w:spacing w:after="240"/>
        <w:jc w:val="both"/>
      </w:pPr>
      <w:r>
        <w:t>Detrás de todo esto hay una capacidad que lo hace posible: la gestión integrada de la información de salud del asegurado. El modelo híbrido entre asistencia presencial y medicina online solo funciona si el médico que atiende por videollamada tiene acceso a lo que ocurrió en la última visita presencial. El asistente de seguimiento crónico solo puede ayudar si sabe qué prescripción activa tiene el paciente. Y la IA que resuelve autorizaciones en tiempo real solo puede hacerlo si tiene acceso a las coberturas contratadas, al historial de prestaciones y a los protocolos clínicos aplicables. La visión 360 del asegurado de salud —que integra datos de la asistencia presencial, las consultas online, las autorizaciones, los reembolsos y el seguimiento crónico— es la infraestructura invisible sobre la que se construye toda la experiencia.</w:t>
      </w:r>
    </w:p>
    <w:p w:rsidR="0032334D" w:rsidP="0032334D" w:rsidRDefault="0032334D" w14:paraId="21B8B13A" w14:textId="77777777">
      <w:pPr>
        <w:pBdr>
          <w:bottom w:val="single" w:color="D3D1C7" w:sz="1" w:space="1"/>
        </w:pBdr>
      </w:pPr>
    </w:p>
    <w:p w:rsidR="0032334D" w:rsidP="0032334D" w:rsidRDefault="0032334D" w14:paraId="4573D344" w14:textId="77777777">
      <w:pPr>
        <w:spacing w:before="200" w:after="120"/>
      </w:pPr>
      <w:r>
        <w:rPr>
          <w:rFonts w:ascii="Arial" w:hAnsi="Arial" w:cs="Arial"/>
          <w:color w:val="888888"/>
          <w:sz w:val="16"/>
          <w:szCs w:val="16"/>
        </w:rPr>
        <w:t>LO QUE EXPERIMENTA EL ASEGURADO</w:t>
      </w:r>
    </w:p>
    <w:p w:rsidR="0032334D" w:rsidP="0032334D" w:rsidRDefault="0032334D" w14:paraId="077C9F57" w14:textId="77777777">
      <w:pPr>
        <w:spacing w:after="120"/>
      </w:pPr>
      <w:r>
        <w:rPr>
          <w:rFonts w:ascii="Arial" w:hAnsi="Arial" w:cs="Arial"/>
          <w:b/>
          <w:sz w:val="24"/>
          <w:szCs w:val="24"/>
        </w:rPr>
        <w:t>Un servicio de salud a la altura de lo que el asegurado espera hoy</w:t>
      </w:r>
    </w:p>
    <w:p w:rsidR="0032334D" w:rsidP="0032334D" w:rsidRDefault="0032334D" w14:paraId="52F97298" w14:textId="77777777">
      <w:pPr>
        <w:spacing w:after="180"/>
        <w:jc w:val="both"/>
      </w:pPr>
      <w:r>
        <w:rPr>
          <w:i/>
          <w:color w:val="555555"/>
          <w:sz w:val="20"/>
          <w:szCs w:val="20"/>
        </w:rPr>
        <w:t>Las mejoras no son teóricas. Son cambios concretos y visibles en los momentos que más importan al asegurado.</w:t>
      </w:r>
    </w:p>
    <w:tbl>
      <w:tblPr>
        <w:tblW w:w="9026" w:type="dxa"/>
        <w:tblCellMar>
          <w:left w:w="10" w:type="dxa"/>
          <w:right w:w="10" w:type="dxa"/>
        </w:tblCellMar>
        <w:tblLook w:val="0000" w:firstRow="0" w:lastRow="0" w:firstColumn="0" w:lastColumn="0" w:noHBand="0" w:noVBand="0"/>
      </w:tblPr>
      <w:tblGrid>
        <w:gridCol w:w="5826"/>
        <w:gridCol w:w="3200"/>
      </w:tblGrid>
      <w:tr w:rsidR="0032334D" w:rsidTr="008D2625" w14:paraId="1CC3BF84" w14:textId="77777777">
        <w:tblPrEx>
          <w:tblCellMar>
            <w:top w:w="0" w:type="dxa"/>
            <w:bottom w:w="0" w:type="dxa"/>
          </w:tblCellMar>
        </w:tblPrEx>
        <w:trPr>
          <w:tblHeader/>
        </w:trPr>
        <w:tc>
          <w:tcPr>
            <w:tcW w:w="5826" w:type="dxa"/>
            <w:shd w:val="clear" w:color="auto" w:fill="BE2A2A"/>
            <w:tcMar>
              <w:top w:w="80" w:type="dxa"/>
              <w:left w:w="140" w:type="dxa"/>
              <w:bottom w:w="80" w:type="dxa"/>
              <w:right w:w="100" w:type="dxa"/>
            </w:tcMar>
          </w:tcPr>
          <w:p w:rsidR="0032334D" w:rsidP="008D2625" w:rsidRDefault="0032334D" w14:paraId="46AE0E94" w14:textId="77777777">
            <w:pPr>
              <w:spacing w:before="80" w:after="80"/>
            </w:pPr>
            <w:r>
              <w:rPr>
                <w:rFonts w:ascii="Arial" w:hAnsi="Arial" w:cs="Arial"/>
                <w:b/>
                <w:color w:val="FFFFFF"/>
                <w:sz w:val="18"/>
                <w:szCs w:val="18"/>
              </w:rPr>
              <w:t>Momento del asegurado</w:t>
            </w:r>
          </w:p>
        </w:tc>
        <w:tc>
          <w:tcPr>
            <w:tcW w:w="3200" w:type="dxa"/>
            <w:shd w:val="clear" w:color="auto" w:fill="BE2A2A"/>
            <w:tcMar>
              <w:top w:w="80" w:type="dxa"/>
              <w:left w:w="140" w:type="dxa"/>
              <w:bottom w:w="80" w:type="dxa"/>
              <w:right w:w="100" w:type="dxa"/>
            </w:tcMar>
          </w:tcPr>
          <w:p w:rsidR="0032334D" w:rsidP="008D2625" w:rsidRDefault="0032334D" w14:paraId="1E722A0C" w14:textId="77777777">
            <w:pPr>
              <w:spacing w:before="80" w:after="80"/>
            </w:pPr>
            <w:r>
              <w:rPr>
                <w:rFonts w:ascii="Arial" w:hAnsi="Arial" w:cs="Arial"/>
                <w:b/>
                <w:color w:val="FFFFFF"/>
                <w:sz w:val="18"/>
                <w:szCs w:val="18"/>
              </w:rPr>
              <w:t>La nueva experiencia</w:t>
            </w:r>
          </w:p>
        </w:tc>
      </w:tr>
      <w:tr w:rsidR="0032334D" w:rsidTr="008D2625" w14:paraId="3A937E7F" w14:textId="77777777">
        <w:tblPrEx>
          <w:tblCellMar>
            <w:top w:w="0" w:type="dxa"/>
            <w:bottom w:w="0" w:type="dxa"/>
          </w:tblCellMar>
        </w:tblPrEx>
        <w:tc>
          <w:tcPr>
            <w:tcW w:w="58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1C96E46D" w14:textId="77777777">
            <w:pPr>
              <w:spacing w:before="80" w:after="80"/>
              <w:jc w:val="both"/>
            </w:pPr>
            <w:r>
              <w:rPr>
                <w:rFonts w:ascii="Arial" w:hAnsi="Arial" w:cs="Arial"/>
                <w:b/>
                <w:sz w:val="19"/>
                <w:szCs w:val="19"/>
              </w:rPr>
              <w:t>Necesita una autorización médica</w:t>
            </w:r>
          </w:p>
        </w:tc>
        <w:tc>
          <w:tcPr>
            <w:tcW w:w="32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63C5E949" w14:textId="77777777">
            <w:pPr>
              <w:spacing w:before="80" w:after="80"/>
              <w:jc w:val="center"/>
            </w:pPr>
            <w:r>
              <w:rPr>
                <w:color w:val="555555"/>
                <w:sz w:val="18"/>
                <w:szCs w:val="18"/>
              </w:rPr>
              <w:t xml:space="preserve">La solicita por </w:t>
            </w:r>
            <w:proofErr w:type="gramStart"/>
            <w:r>
              <w:rPr>
                <w:color w:val="555555"/>
                <w:sz w:val="18"/>
                <w:szCs w:val="18"/>
              </w:rPr>
              <w:t>app</w:t>
            </w:r>
            <w:proofErr w:type="gramEnd"/>
            <w:r>
              <w:rPr>
                <w:color w:val="555555"/>
                <w:sz w:val="18"/>
                <w:szCs w:val="18"/>
              </w:rPr>
              <w:t>, web o chat. El 80% se resuelve en tiempo real con IA. Sin llamadas, sin esperas, con respuesta en segundos.</w:t>
            </w:r>
          </w:p>
        </w:tc>
      </w:tr>
      <w:tr w:rsidR="0032334D" w:rsidTr="008D2625" w14:paraId="5D19915B" w14:textId="77777777">
        <w:tblPrEx>
          <w:tblCellMar>
            <w:top w:w="0" w:type="dxa"/>
            <w:bottom w:w="0" w:type="dxa"/>
          </w:tblCellMar>
        </w:tblPrEx>
        <w:tc>
          <w:tcPr>
            <w:tcW w:w="58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32334D" w:rsidP="008D2625" w:rsidRDefault="0032334D" w14:paraId="476893F8" w14:textId="77777777">
            <w:pPr>
              <w:spacing w:before="80" w:after="80"/>
              <w:jc w:val="both"/>
            </w:pPr>
            <w:r>
              <w:rPr>
                <w:rFonts w:ascii="Arial" w:hAnsi="Arial" w:cs="Arial"/>
                <w:b/>
                <w:sz w:val="19"/>
                <w:szCs w:val="19"/>
              </w:rPr>
              <w:t>Quiere saber a qué especialista acudir</w:t>
            </w:r>
          </w:p>
        </w:tc>
        <w:tc>
          <w:tcPr>
            <w:tcW w:w="32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32334D" w:rsidP="008D2625" w:rsidRDefault="0032334D" w14:paraId="12017606" w14:textId="77777777">
            <w:pPr>
              <w:spacing w:before="80" w:after="80"/>
              <w:jc w:val="center"/>
            </w:pPr>
            <w:r>
              <w:rPr>
                <w:color w:val="555555"/>
                <w:sz w:val="18"/>
                <w:szCs w:val="18"/>
              </w:rPr>
              <w:t xml:space="preserve">El asistente virtual hace el </w:t>
            </w:r>
            <w:proofErr w:type="spellStart"/>
            <w:r>
              <w:rPr>
                <w:color w:val="555555"/>
                <w:sz w:val="18"/>
                <w:szCs w:val="18"/>
              </w:rPr>
              <w:t>triaje</w:t>
            </w:r>
            <w:proofErr w:type="spellEnd"/>
            <w:r>
              <w:rPr>
                <w:color w:val="555555"/>
                <w:sz w:val="18"/>
                <w:szCs w:val="18"/>
              </w:rPr>
              <w:t>, le orienta al especialista correcto y le da cita en el momento.</w:t>
            </w:r>
          </w:p>
        </w:tc>
      </w:tr>
      <w:tr w:rsidR="0032334D" w:rsidTr="008D2625" w14:paraId="77DF476D" w14:textId="77777777">
        <w:tblPrEx>
          <w:tblCellMar>
            <w:top w:w="0" w:type="dxa"/>
            <w:bottom w:w="0" w:type="dxa"/>
          </w:tblCellMar>
        </w:tblPrEx>
        <w:tc>
          <w:tcPr>
            <w:tcW w:w="58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38EA2D58" w14:textId="77777777">
            <w:pPr>
              <w:spacing w:before="80" w:after="80"/>
              <w:jc w:val="both"/>
            </w:pPr>
            <w:r>
              <w:rPr>
                <w:rFonts w:ascii="Arial" w:hAnsi="Arial" w:cs="Arial"/>
                <w:b/>
                <w:sz w:val="19"/>
                <w:szCs w:val="19"/>
              </w:rPr>
              <w:t>Tiene un gasto médico que reembolsar</w:t>
            </w:r>
          </w:p>
        </w:tc>
        <w:tc>
          <w:tcPr>
            <w:tcW w:w="32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0ADA6848" w14:textId="77777777">
            <w:pPr>
              <w:spacing w:before="80" w:after="80"/>
              <w:jc w:val="center"/>
            </w:pPr>
            <w:r>
              <w:rPr>
                <w:color w:val="555555"/>
                <w:sz w:val="18"/>
                <w:szCs w:val="18"/>
              </w:rPr>
              <w:t xml:space="preserve">Sube la documentación desde la </w:t>
            </w:r>
            <w:proofErr w:type="gramStart"/>
            <w:r>
              <w:rPr>
                <w:color w:val="555555"/>
                <w:sz w:val="18"/>
                <w:szCs w:val="18"/>
              </w:rPr>
              <w:t>app</w:t>
            </w:r>
            <w:proofErr w:type="gramEnd"/>
            <w:r>
              <w:rPr>
                <w:color w:val="555555"/>
                <w:sz w:val="18"/>
                <w:szCs w:val="18"/>
              </w:rPr>
              <w:t>. El reembolso llega el mismo día.</w:t>
            </w:r>
          </w:p>
        </w:tc>
      </w:tr>
      <w:tr w:rsidR="0032334D" w:rsidTr="008D2625" w14:paraId="67A36C5F" w14:textId="77777777">
        <w:tblPrEx>
          <w:tblCellMar>
            <w:top w:w="0" w:type="dxa"/>
            <w:bottom w:w="0" w:type="dxa"/>
          </w:tblCellMar>
        </w:tblPrEx>
        <w:tc>
          <w:tcPr>
            <w:tcW w:w="58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32334D" w:rsidP="008D2625" w:rsidRDefault="0032334D" w14:paraId="4BC4266B" w14:textId="77777777">
            <w:pPr>
              <w:spacing w:before="80" w:after="80"/>
              <w:jc w:val="both"/>
            </w:pPr>
            <w:r>
              <w:rPr>
                <w:rFonts w:ascii="Arial" w:hAnsi="Arial" w:cs="Arial"/>
                <w:b/>
                <w:sz w:val="19"/>
                <w:szCs w:val="19"/>
              </w:rPr>
              <w:t>Tiene una enfermedad crónica</w:t>
            </w:r>
          </w:p>
        </w:tc>
        <w:tc>
          <w:tcPr>
            <w:tcW w:w="32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32334D" w:rsidP="008D2625" w:rsidRDefault="0032334D" w14:paraId="3F02C098" w14:textId="77777777">
            <w:pPr>
              <w:spacing w:before="80" w:after="80"/>
              <w:jc w:val="center"/>
            </w:pPr>
            <w:r>
              <w:rPr>
                <w:color w:val="555555"/>
                <w:sz w:val="18"/>
                <w:szCs w:val="18"/>
              </w:rPr>
              <w:t>El asistente de seguimiento le acompaña: recordatorios, renovación de prescripciones, seguimiento de evolución, todo sin llamar.</w:t>
            </w:r>
          </w:p>
        </w:tc>
      </w:tr>
      <w:tr w:rsidR="0032334D" w:rsidTr="008D2625" w14:paraId="25922783" w14:textId="77777777">
        <w:tblPrEx>
          <w:tblCellMar>
            <w:top w:w="0" w:type="dxa"/>
            <w:bottom w:w="0" w:type="dxa"/>
          </w:tblCellMar>
        </w:tblPrEx>
        <w:tc>
          <w:tcPr>
            <w:tcW w:w="58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03815A99" w14:textId="77777777">
            <w:pPr>
              <w:spacing w:before="80" w:after="80"/>
              <w:jc w:val="both"/>
            </w:pPr>
            <w:r>
              <w:rPr>
                <w:rFonts w:ascii="Arial" w:hAnsi="Arial" w:cs="Arial"/>
                <w:b/>
                <w:sz w:val="19"/>
                <w:szCs w:val="19"/>
              </w:rPr>
              <w:lastRenderedPageBreak/>
              <w:t>Quiere consultar sin desplazarse</w:t>
            </w:r>
          </w:p>
        </w:tc>
        <w:tc>
          <w:tcPr>
            <w:tcW w:w="32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147D4A25" w14:textId="77777777">
            <w:pPr>
              <w:spacing w:before="80" w:after="80"/>
              <w:jc w:val="center"/>
            </w:pPr>
            <w:r>
              <w:rPr>
                <w:color w:val="555555"/>
                <w:sz w:val="18"/>
                <w:szCs w:val="18"/>
              </w:rPr>
              <w:t>La telemedicina está integrada en el cuadro médico: el médico que le atiende online ve su historial y puede prescribir pruebas.</w:t>
            </w:r>
          </w:p>
        </w:tc>
      </w:tr>
      <w:tr w:rsidR="0032334D" w:rsidTr="008D2625" w14:paraId="03AC0A1D" w14:textId="77777777">
        <w:tblPrEx>
          <w:tblCellMar>
            <w:top w:w="0" w:type="dxa"/>
            <w:bottom w:w="0" w:type="dxa"/>
          </w:tblCellMar>
        </w:tblPrEx>
        <w:tc>
          <w:tcPr>
            <w:tcW w:w="58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32334D" w:rsidP="008D2625" w:rsidRDefault="0032334D" w14:paraId="73029DA9" w14:textId="77777777">
            <w:pPr>
              <w:spacing w:before="80" w:after="80"/>
              <w:jc w:val="both"/>
            </w:pPr>
            <w:r>
              <w:rPr>
                <w:rFonts w:ascii="Arial" w:hAnsi="Arial" w:cs="Arial"/>
                <w:b/>
                <w:sz w:val="19"/>
                <w:szCs w:val="19"/>
              </w:rPr>
              <w:t>Busca un médico o centro</w:t>
            </w:r>
          </w:p>
        </w:tc>
        <w:tc>
          <w:tcPr>
            <w:tcW w:w="32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32334D" w:rsidP="008D2625" w:rsidRDefault="0032334D" w14:paraId="46674AC4" w14:textId="77777777">
            <w:pPr>
              <w:spacing w:before="80" w:after="80"/>
              <w:jc w:val="center"/>
            </w:pPr>
            <w:r>
              <w:rPr>
                <w:color w:val="555555"/>
                <w:sz w:val="18"/>
                <w:szCs w:val="18"/>
              </w:rPr>
              <w:t>El buscador online incluye cuadro médico completo, centros preferentes, baremos y disponibilidad en tiempo real.</w:t>
            </w:r>
          </w:p>
        </w:tc>
      </w:tr>
      <w:tr w:rsidR="0032334D" w:rsidTr="008D2625" w14:paraId="425C8D11" w14:textId="77777777">
        <w:tblPrEx>
          <w:tblCellMar>
            <w:top w:w="0" w:type="dxa"/>
            <w:bottom w:w="0" w:type="dxa"/>
          </w:tblCellMar>
        </w:tblPrEx>
        <w:tc>
          <w:tcPr>
            <w:tcW w:w="58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7A0CA3E4" w14:textId="77777777">
            <w:pPr>
              <w:spacing w:before="80" w:after="80"/>
              <w:jc w:val="both"/>
            </w:pPr>
            <w:r>
              <w:rPr>
                <w:rFonts w:ascii="Arial" w:hAnsi="Arial" w:cs="Arial"/>
                <w:b/>
                <w:sz w:val="19"/>
                <w:szCs w:val="19"/>
              </w:rPr>
              <w:t>Cuida su salud activamente</w:t>
            </w:r>
          </w:p>
        </w:tc>
        <w:tc>
          <w:tcPr>
            <w:tcW w:w="32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51F86C38" w14:textId="77777777">
            <w:pPr>
              <w:spacing w:before="80" w:after="80"/>
              <w:jc w:val="center"/>
            </w:pPr>
            <w:r>
              <w:rPr>
                <w:color w:val="555555"/>
                <w:sz w:val="18"/>
                <w:szCs w:val="18"/>
              </w:rPr>
              <w:t>Su actividad física y hábitos saludables se traducen en una prima más competitiva.</w:t>
            </w:r>
          </w:p>
        </w:tc>
      </w:tr>
    </w:tbl>
    <w:p w:rsidR="0032334D" w:rsidP="0032334D" w:rsidRDefault="0032334D" w14:paraId="739C8E27" w14:textId="77777777">
      <w:pPr>
        <w:spacing w:before="120"/>
      </w:pPr>
    </w:p>
    <w:p w:rsidR="0032334D" w:rsidP="0032334D" w:rsidRDefault="0032334D" w14:paraId="58066B39" w14:textId="77777777">
      <w:pPr>
        <w:pBdr>
          <w:bottom w:val="single" w:color="D3D1C7" w:sz="1" w:space="1"/>
        </w:pBdr>
        <w:spacing w:before="200" w:after="240"/>
      </w:pPr>
    </w:p>
    <w:p w:rsidR="0032334D" w:rsidP="0032334D" w:rsidRDefault="0032334D" w14:paraId="094C49B2" w14:textId="77777777">
      <w:pPr>
        <w:spacing w:after="200"/>
      </w:pPr>
      <w:r>
        <w:rPr>
          <w:rFonts w:ascii="Arial" w:hAnsi="Arial" w:cs="Arial"/>
          <w:color w:val="888888"/>
          <w:sz w:val="16"/>
          <w:szCs w:val="16"/>
        </w:rPr>
        <w:t>PREGUNTAS Y RESPUESTAS INTERNAS</w:t>
      </w:r>
    </w:p>
    <w:p w:rsidR="0032334D" w:rsidP="0032334D" w:rsidRDefault="0032334D" w14:paraId="4EB3D8ED" w14:textId="77777777">
      <w:pPr>
        <w:spacing w:before="200" w:after="80"/>
      </w:pPr>
      <w:r>
        <w:rPr>
          <w:rFonts w:ascii="Arial" w:hAnsi="Arial" w:cs="Arial"/>
          <w:b/>
        </w:rPr>
        <w:t>¿Qué ha cambiado realmente para el asegurado respecto al seguro anterior?</w:t>
      </w:r>
    </w:p>
    <w:p w:rsidR="0032334D" w:rsidP="0032334D" w:rsidRDefault="0032334D" w14:paraId="6495DCD4" w14:textId="77777777">
      <w:pPr>
        <w:spacing w:after="60"/>
        <w:jc w:val="both"/>
      </w:pPr>
      <w:r>
        <w:rPr>
          <w:color w:val="555555"/>
          <w:sz w:val="21"/>
          <w:szCs w:val="21"/>
        </w:rPr>
        <w:t xml:space="preserve">La respuesta corta: casi todo en la experiencia, nada en la continuidad. El cuadro médico es prácticamente idéntico —el asegurado no ha perdido a su médico ni su centro—, y la asistencia nunca se interrumpió. Lo que ha cambiado es la calidad del servicio: autorizaciones que antes tardaban horas o días ahora se resuelven en tiempo real, reembolsos que requerían enviar documentación por correo ahora se tramitan en el día desde la </w:t>
      </w:r>
      <w:proofErr w:type="gramStart"/>
      <w:r>
        <w:rPr>
          <w:color w:val="555555"/>
          <w:sz w:val="21"/>
          <w:szCs w:val="21"/>
        </w:rPr>
        <w:t>app</w:t>
      </w:r>
      <w:proofErr w:type="gramEnd"/>
      <w:r>
        <w:rPr>
          <w:color w:val="555555"/>
          <w:sz w:val="21"/>
          <w:szCs w:val="21"/>
        </w:rPr>
        <w:t>, y el asegurado tiene acceso a medicina online integrada con su historial. La transición ha sido invisible en lo que podría haber perjudicado. Las mejoras, bien visibles.</w:t>
      </w:r>
    </w:p>
    <w:p w:rsidR="0032334D" w:rsidP="0032334D" w:rsidRDefault="0032334D" w14:paraId="64459DF6" w14:textId="77777777">
      <w:pPr>
        <w:spacing w:before="200" w:after="80"/>
      </w:pPr>
      <w:r>
        <w:rPr>
          <w:rFonts w:ascii="Arial" w:hAnsi="Arial" w:cs="Arial"/>
          <w:b/>
        </w:rPr>
        <w:t>¿Cómo funciona la autorización instantánea con IA?</w:t>
      </w:r>
    </w:p>
    <w:p w:rsidR="0032334D" w:rsidP="0032334D" w:rsidRDefault="0032334D" w14:paraId="5DC9C440" w14:textId="77777777">
      <w:pPr>
        <w:spacing w:after="60"/>
        <w:jc w:val="both"/>
      </w:pPr>
      <w:r>
        <w:rPr>
          <w:color w:val="555555"/>
          <w:sz w:val="21"/>
          <w:szCs w:val="21"/>
        </w:rPr>
        <w:t xml:space="preserve">El sistema evalúa en tiempo real si la prestación solicitada está cubierta por la póliza del asegurado, aplica los protocolos clínicos configurados y resuelve automáticamente el 80% de las solicitudes. El 20% restante —casos que requieren valoración clínica específica— se derivan a un médico revisor con toda la información ya estructurada, lo que reduce también el tiempo de resolución de esos casos. El asegurado recibe la respuesta por el mismo canal por el que hizo la solicitud: </w:t>
      </w:r>
      <w:proofErr w:type="gramStart"/>
      <w:r>
        <w:rPr>
          <w:color w:val="555555"/>
          <w:sz w:val="21"/>
          <w:szCs w:val="21"/>
        </w:rPr>
        <w:t>app</w:t>
      </w:r>
      <w:proofErr w:type="gramEnd"/>
      <w:r>
        <w:rPr>
          <w:color w:val="555555"/>
          <w:sz w:val="21"/>
          <w:szCs w:val="21"/>
        </w:rPr>
        <w:t>, web o chat.</w:t>
      </w:r>
    </w:p>
    <w:p w:rsidR="0032334D" w:rsidP="0032334D" w:rsidRDefault="0032334D" w14:paraId="207ABBF2" w14:textId="77777777">
      <w:pPr>
        <w:spacing w:before="200" w:after="80"/>
      </w:pPr>
      <w:r>
        <w:rPr>
          <w:rFonts w:ascii="Arial" w:hAnsi="Arial" w:cs="Arial"/>
          <w:b/>
        </w:rPr>
        <w:t>¿Qué significa que la medicina online es ‘parte integral del tratamiento’?</w:t>
      </w:r>
    </w:p>
    <w:p w:rsidR="0032334D" w:rsidP="0032334D" w:rsidRDefault="0032334D" w14:paraId="1F88ED96" w14:textId="77777777">
      <w:pPr>
        <w:spacing w:after="60"/>
        <w:jc w:val="both"/>
      </w:pPr>
      <w:r>
        <w:rPr>
          <w:color w:val="555555"/>
          <w:sz w:val="21"/>
          <w:szCs w:val="21"/>
        </w:rPr>
        <w:t>Significa que el médico que atiende por videollamada no trabaja con información parcial. Tiene acceso al historial del paciente, a las prescripciones activas, a las pruebas realizadas y a los informes anteriores, exactamente igual que si la consulta fuera presencial. Puede prescribir pruebas, renovar tratamientos, hacer seguimiento de pacientes crónicos y derivar al especialista adecuado. La consulta online no es una consulta de menor categoría: es parte del mismo ecosistema asistencial.</w:t>
      </w:r>
    </w:p>
    <w:p w:rsidR="0032334D" w:rsidP="0032334D" w:rsidRDefault="0032334D" w14:paraId="630F4F95" w14:textId="77777777">
      <w:pPr>
        <w:spacing w:before="200" w:after="80"/>
      </w:pPr>
      <w:r>
        <w:rPr>
          <w:rFonts w:ascii="Arial" w:hAnsi="Arial" w:cs="Arial"/>
          <w:b/>
        </w:rPr>
        <w:t>¿Cómo gestiona el sistema la información del asegurado entre proveedores y canales?</w:t>
      </w:r>
    </w:p>
    <w:p w:rsidR="0032334D" w:rsidP="0032334D" w:rsidRDefault="0032334D" w14:paraId="5D6CFAE4" w14:textId="77777777">
      <w:pPr>
        <w:spacing w:after="60"/>
        <w:jc w:val="both"/>
        <w:rPr>
          <w:color w:val="555555"/>
          <w:sz w:val="21"/>
          <w:szCs w:val="21"/>
        </w:rPr>
      </w:pPr>
      <w:r>
        <w:rPr>
          <w:color w:val="555555"/>
          <w:sz w:val="21"/>
          <w:szCs w:val="21"/>
        </w:rPr>
        <w:t>La visión 360 del asegurado de salud es el elemento habilitador de toda la experiencia integrada. El nuevo dominio de datos de Salud, construido en coordinación con el Proyecto de Gobierno del Dato, integra información de la asistencia presencial, las consultas online, las autorizaciones y los reembolsos en un perfil unificado y gobernado. Eso es lo que permite que el médico online vea el historial presencial, que el asistente de crónicos tenga visibilidad de las prescripciones activas y que la IA de autorizaciones acceda a las coberturas en tiempo real. Sin esa capa de dato integrado, ninguna de las capacidades digitales funciona.</w:t>
      </w:r>
    </w:p>
    <w:p w:rsidR="0032334D" w:rsidP="0032334D" w:rsidRDefault="0032334D" w14:paraId="38E1EF05" w14:textId="77777777">
      <w:pPr>
        <w:spacing w:after="60"/>
        <w:jc w:val="both"/>
      </w:pPr>
    </w:p>
    <w:p w:rsidR="0032334D" w:rsidP="0032334D" w:rsidRDefault="0032334D" w14:paraId="4E9B65C3" w14:textId="77777777">
      <w:pPr>
        <w:spacing w:before="200" w:after="80"/>
      </w:pPr>
      <w:r>
        <w:rPr>
          <w:rFonts w:ascii="Arial" w:hAnsi="Arial" w:cs="Arial"/>
          <w:b/>
        </w:rPr>
        <w:lastRenderedPageBreak/>
        <w:t>¿Por qué el cambio de proveedor era necesario para conseguir todo esto?</w:t>
      </w:r>
    </w:p>
    <w:p w:rsidR="0032334D" w:rsidP="0032334D" w:rsidRDefault="0032334D" w14:paraId="3A9BC69A" w14:textId="77777777">
      <w:pPr>
        <w:spacing w:after="60"/>
        <w:jc w:val="both"/>
      </w:pPr>
      <w:r>
        <w:rPr>
          <w:color w:val="555555"/>
          <w:sz w:val="21"/>
          <w:szCs w:val="21"/>
        </w:rPr>
        <w:t>Porque la plataforma tecnológica del proveedor anterior no tenía las capacidades necesarias para desplegar IA en autorizaciones, asistente virtual de citas, seguimiento de crónicos o integración de medicina online con historial unificado. Cambiar de proveedor no era el objetivo —el objetivo era el nuevo modelo de servicio— pero era la condición necesaria para conseguirlo. La elección de HNA responde a su cuadro médico de primer nivel, a sus grupos hospitalarios y a una plataforma tecnológica que hace posible la ambición que Línea Directa tenía para este ramo.</w:t>
      </w:r>
    </w:p>
    <w:p w:rsidR="0032334D" w:rsidP="0032334D" w:rsidRDefault="0032334D" w14:paraId="051ED6D8" w14:textId="77777777">
      <w:pPr>
        <w:pBdr>
          <w:bottom w:val="single" w:color="D3D1C7" w:sz="1" w:space="1"/>
        </w:pBdr>
        <w:spacing w:before="200" w:after="240"/>
      </w:pPr>
    </w:p>
    <w:p w:rsidR="0032334D" w:rsidP="0032334D" w:rsidRDefault="0032334D" w14:paraId="0B24C83B" w14:textId="77777777">
      <w:pPr>
        <w:spacing w:after="120"/>
      </w:pPr>
      <w:r>
        <w:rPr>
          <w:rFonts w:ascii="Arial" w:hAnsi="Arial" w:cs="Arial"/>
          <w:color w:val="888888"/>
          <w:sz w:val="16"/>
          <w:szCs w:val="16"/>
        </w:rPr>
        <w:t>OBJETIVOS DEL PROYECTO</w:t>
      </w:r>
    </w:p>
    <w:p w:rsidR="0032334D" w:rsidP="0032334D" w:rsidRDefault="0032334D" w14:paraId="1D2235E9" w14:textId="55CA2144">
      <w:pPr>
        <w:spacing w:after="160"/>
      </w:pPr>
      <w:r w:rsidRPr="4626AC81" w:rsidR="0032334D">
        <w:rPr>
          <w:rFonts w:ascii="Arial" w:hAnsi="Arial" w:cs="Arial"/>
          <w:b w:val="1"/>
          <w:bCs w:val="1"/>
          <w:sz w:val="30"/>
          <w:szCs w:val="30"/>
        </w:rPr>
        <w:t xml:space="preserve">El </w:t>
      </w:r>
      <w:r w:rsidRPr="4626AC81" w:rsidR="7662279B">
        <w:rPr>
          <w:rFonts w:ascii="Arial" w:hAnsi="Arial" w:cs="Arial"/>
          <w:b w:val="1"/>
          <w:bCs w:val="1"/>
          <w:sz w:val="30"/>
          <w:szCs w:val="30"/>
        </w:rPr>
        <w:t>é</w:t>
      </w:r>
      <w:r w:rsidRPr="4626AC81" w:rsidR="0032334D">
        <w:rPr>
          <w:rFonts w:ascii="Arial" w:hAnsi="Arial" w:cs="Arial"/>
          <w:b w:val="1"/>
          <w:bCs w:val="1"/>
          <w:sz w:val="30"/>
          <w:szCs w:val="30"/>
        </w:rPr>
        <w:t>xito se mide en experiencia de cliente, capacidades digitales y calidad asistencial</w:t>
      </w:r>
    </w:p>
    <w:p w:rsidR="0032334D" w:rsidP="0032334D" w:rsidRDefault="0032334D" w14:paraId="447AE125" w14:textId="77777777">
      <w:pPr>
        <w:spacing w:after="280"/>
        <w:jc w:val="both"/>
      </w:pPr>
      <w:r>
        <w:rPr>
          <w:i/>
          <w:color w:val="555555"/>
        </w:rPr>
        <w:t>El proyecto se mide en dos horizontes. La transición, por cero impactos negativos. La evolución, por las nuevas capacidades desplegadas y su adopción por el asegurado.</w:t>
      </w:r>
    </w:p>
    <w:p w:rsidR="0032334D" w:rsidP="0032334D" w:rsidRDefault="0032334D" w14:paraId="391C1671" w14:textId="77777777">
      <w:pPr>
        <w:spacing w:after="100"/>
      </w:pPr>
      <w:r>
        <w:rPr>
          <w:rFonts w:ascii="Arial" w:hAnsi="Arial" w:cs="Arial"/>
          <w:b/>
          <w:color w:val="BE2A2A"/>
          <w:sz w:val="16"/>
          <w:szCs w:val="16"/>
        </w:rPr>
        <w:t>TRANSICIÓN — Criterios de éxito ya conseguidos</w:t>
      </w:r>
    </w:p>
    <w:tbl>
      <w:tblPr>
        <w:tblW w:w="9026" w:type="dxa"/>
        <w:tblCellMar>
          <w:left w:w="10" w:type="dxa"/>
          <w:right w:w="10" w:type="dxa"/>
        </w:tblCellMar>
        <w:tblLook w:val="0000" w:firstRow="0" w:lastRow="0" w:firstColumn="0" w:lastColumn="0" w:noHBand="0" w:noVBand="0"/>
      </w:tblPr>
      <w:tblGrid>
        <w:gridCol w:w="4400"/>
        <w:gridCol w:w="2313"/>
        <w:gridCol w:w="2313"/>
      </w:tblGrid>
      <w:tr w:rsidR="0032334D" w:rsidTr="008D2625" w14:paraId="27D2572E" w14:textId="77777777">
        <w:tblPrEx>
          <w:tblCellMar>
            <w:top w:w="0" w:type="dxa"/>
            <w:bottom w:w="0" w:type="dxa"/>
          </w:tblCellMar>
        </w:tblPrEx>
        <w:trPr>
          <w:tblHeader/>
        </w:trPr>
        <w:tc>
          <w:tcPr>
            <w:tcW w:w="4400" w:type="dxa"/>
            <w:shd w:val="clear" w:color="auto" w:fill="BE2A2A"/>
            <w:tcMar>
              <w:top w:w="80" w:type="dxa"/>
              <w:left w:w="140" w:type="dxa"/>
              <w:bottom w:w="80" w:type="dxa"/>
              <w:right w:w="100" w:type="dxa"/>
            </w:tcMar>
          </w:tcPr>
          <w:p w:rsidR="0032334D" w:rsidP="008D2625" w:rsidRDefault="0032334D" w14:paraId="0595CA44" w14:textId="77777777">
            <w:pPr>
              <w:spacing w:before="80" w:after="80"/>
            </w:pPr>
            <w:r>
              <w:rPr>
                <w:rFonts w:ascii="Arial" w:hAnsi="Arial" w:cs="Arial"/>
                <w:b/>
                <w:color w:val="FFFFFF"/>
                <w:sz w:val="18"/>
                <w:szCs w:val="18"/>
              </w:rPr>
              <w:t>Indicador</w:t>
            </w:r>
          </w:p>
        </w:tc>
        <w:tc>
          <w:tcPr>
            <w:tcW w:w="2313" w:type="dxa"/>
            <w:shd w:val="clear" w:color="auto" w:fill="BE2A2A"/>
            <w:tcMar>
              <w:top w:w="80" w:type="dxa"/>
              <w:left w:w="140" w:type="dxa"/>
              <w:bottom w:w="80" w:type="dxa"/>
              <w:right w:w="100" w:type="dxa"/>
            </w:tcMar>
          </w:tcPr>
          <w:p w:rsidR="0032334D" w:rsidP="008D2625" w:rsidRDefault="0032334D" w14:paraId="5E7D44AE" w14:textId="77777777">
            <w:pPr>
              <w:spacing w:before="80" w:after="80"/>
            </w:pPr>
            <w:r>
              <w:rPr>
                <w:rFonts w:ascii="Arial" w:hAnsi="Arial" w:cs="Arial"/>
                <w:b/>
                <w:color w:val="FFFFFF"/>
                <w:sz w:val="18"/>
                <w:szCs w:val="18"/>
              </w:rPr>
              <w:t>Resultado</w:t>
            </w:r>
          </w:p>
        </w:tc>
        <w:tc>
          <w:tcPr>
            <w:tcW w:w="2313" w:type="dxa"/>
            <w:shd w:val="clear" w:color="auto" w:fill="BE2A2A"/>
            <w:tcMar>
              <w:top w:w="80" w:type="dxa"/>
              <w:left w:w="140" w:type="dxa"/>
              <w:bottom w:w="80" w:type="dxa"/>
              <w:right w:w="100" w:type="dxa"/>
            </w:tcMar>
          </w:tcPr>
          <w:p w:rsidR="0032334D" w:rsidP="008D2625" w:rsidRDefault="0032334D" w14:paraId="06C0A6F9" w14:textId="77777777">
            <w:pPr>
              <w:spacing w:before="80" w:after="80"/>
            </w:pPr>
            <w:r>
              <w:rPr>
                <w:rFonts w:ascii="Arial" w:hAnsi="Arial" w:cs="Arial"/>
                <w:b/>
                <w:color w:val="FFFFFF"/>
                <w:sz w:val="18"/>
                <w:szCs w:val="18"/>
              </w:rPr>
              <w:t>Valoración</w:t>
            </w:r>
          </w:p>
        </w:tc>
      </w:tr>
      <w:tr w:rsidR="0032334D" w:rsidTr="008D2625" w14:paraId="2F5B3FA6" w14:textId="77777777">
        <w:tblPrEx>
          <w:tblCellMar>
            <w:top w:w="0" w:type="dxa"/>
            <w:bottom w:w="0" w:type="dxa"/>
          </w:tblCellMar>
        </w:tblPrEx>
        <w:tc>
          <w:tcPr>
            <w:tcW w:w="44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4B674671" w14:textId="77777777">
            <w:pPr>
              <w:spacing w:before="80" w:after="80"/>
              <w:jc w:val="both"/>
            </w:pPr>
            <w:r>
              <w:rPr>
                <w:rFonts w:ascii="Arial" w:hAnsi="Arial" w:cs="Arial"/>
                <w:b/>
                <w:sz w:val="19"/>
                <w:szCs w:val="19"/>
              </w:rPr>
              <w:t>Asegurados con interrupción del servicio</w:t>
            </w:r>
          </w:p>
        </w:tc>
        <w:tc>
          <w:tcPr>
            <w:tcW w:w="2313"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540648DF" w14:textId="77777777">
            <w:pPr>
              <w:spacing w:before="80" w:after="80"/>
              <w:jc w:val="center"/>
            </w:pPr>
            <w:r>
              <w:rPr>
                <w:color w:val="555555"/>
                <w:sz w:val="18"/>
                <w:szCs w:val="18"/>
              </w:rPr>
              <w:t>0</w:t>
            </w:r>
          </w:p>
        </w:tc>
        <w:tc>
          <w:tcPr>
            <w:tcW w:w="2313"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10267B77" w14:textId="77777777">
            <w:pPr>
              <w:spacing w:before="80" w:after="80"/>
              <w:jc w:val="center"/>
            </w:pPr>
            <w:r>
              <w:rPr>
                <w:color w:val="555555"/>
                <w:sz w:val="18"/>
                <w:szCs w:val="18"/>
              </w:rPr>
              <w:t>Objetivo cumplido</w:t>
            </w:r>
          </w:p>
        </w:tc>
      </w:tr>
      <w:tr w:rsidR="0032334D" w:rsidTr="008D2625" w14:paraId="04EFC996" w14:textId="77777777">
        <w:tblPrEx>
          <w:tblCellMar>
            <w:top w:w="0" w:type="dxa"/>
            <w:bottom w:w="0" w:type="dxa"/>
          </w:tblCellMar>
        </w:tblPrEx>
        <w:tc>
          <w:tcPr>
            <w:tcW w:w="44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32334D" w:rsidP="008D2625" w:rsidRDefault="0032334D" w14:paraId="5AA59EB7" w14:textId="77777777">
            <w:pPr>
              <w:spacing w:before="80" w:after="80"/>
              <w:jc w:val="both"/>
            </w:pPr>
            <w:r>
              <w:rPr>
                <w:rFonts w:ascii="Arial" w:hAnsi="Arial" w:cs="Arial"/>
                <w:b/>
                <w:sz w:val="19"/>
                <w:szCs w:val="19"/>
              </w:rPr>
              <w:t>Cuadro médico mantenido</w:t>
            </w:r>
          </w:p>
        </w:tc>
        <w:tc>
          <w:tcPr>
            <w:tcW w:w="2313"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32334D" w:rsidP="008D2625" w:rsidRDefault="0032334D" w14:paraId="1EC6C366" w14:textId="77777777">
            <w:pPr>
              <w:spacing w:before="80" w:after="80"/>
              <w:jc w:val="center"/>
            </w:pPr>
            <w:r>
              <w:rPr>
                <w:color w:val="555555"/>
                <w:sz w:val="18"/>
                <w:szCs w:val="18"/>
              </w:rPr>
              <w:t>Prácticamente idéntico</w:t>
            </w:r>
          </w:p>
        </w:tc>
        <w:tc>
          <w:tcPr>
            <w:tcW w:w="2313"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32334D" w:rsidP="008D2625" w:rsidRDefault="0032334D" w14:paraId="4A42EFA1" w14:textId="77777777">
            <w:pPr>
              <w:spacing w:before="80" w:after="80"/>
              <w:jc w:val="center"/>
            </w:pPr>
            <w:r>
              <w:rPr>
                <w:color w:val="555555"/>
                <w:sz w:val="18"/>
                <w:szCs w:val="18"/>
              </w:rPr>
              <w:t>Sin impacto perceptible</w:t>
            </w:r>
          </w:p>
        </w:tc>
      </w:tr>
      <w:tr w:rsidR="0032334D" w:rsidTr="008D2625" w14:paraId="0CD08BB3" w14:textId="77777777">
        <w:tblPrEx>
          <w:tblCellMar>
            <w:top w:w="0" w:type="dxa"/>
            <w:bottom w:w="0" w:type="dxa"/>
          </w:tblCellMar>
        </w:tblPrEx>
        <w:tc>
          <w:tcPr>
            <w:tcW w:w="44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7E1527A6" w14:textId="77777777">
            <w:pPr>
              <w:spacing w:before="80" w:after="80"/>
              <w:jc w:val="both"/>
            </w:pPr>
            <w:r>
              <w:rPr>
                <w:rFonts w:ascii="Arial" w:hAnsi="Arial" w:cs="Arial"/>
                <w:b/>
                <w:sz w:val="19"/>
                <w:szCs w:val="19"/>
              </w:rPr>
              <w:t>Datos migrados con calidad certificada</w:t>
            </w:r>
          </w:p>
        </w:tc>
        <w:tc>
          <w:tcPr>
            <w:tcW w:w="2313"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0C9F194C" w14:textId="77777777">
            <w:pPr>
              <w:spacing w:before="80" w:after="80"/>
              <w:jc w:val="center"/>
            </w:pPr>
            <w:r>
              <w:rPr>
                <w:color w:val="555555"/>
                <w:sz w:val="18"/>
                <w:szCs w:val="18"/>
              </w:rPr>
              <w:t>100%</w:t>
            </w:r>
          </w:p>
        </w:tc>
        <w:tc>
          <w:tcPr>
            <w:tcW w:w="2313"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4E9A342D" w14:textId="77777777">
            <w:pPr>
              <w:spacing w:before="80" w:after="80"/>
              <w:jc w:val="center"/>
            </w:pPr>
            <w:r>
              <w:rPr>
                <w:color w:val="555555"/>
                <w:sz w:val="18"/>
                <w:szCs w:val="18"/>
              </w:rPr>
              <w:t>Validado con Gobierno del Dato</w:t>
            </w:r>
          </w:p>
        </w:tc>
      </w:tr>
      <w:tr w:rsidR="0032334D" w:rsidTr="008D2625" w14:paraId="728F2744" w14:textId="77777777">
        <w:tblPrEx>
          <w:tblCellMar>
            <w:top w:w="0" w:type="dxa"/>
            <w:bottom w:w="0" w:type="dxa"/>
          </w:tblCellMar>
        </w:tblPrEx>
        <w:tc>
          <w:tcPr>
            <w:tcW w:w="44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32334D" w:rsidP="008D2625" w:rsidRDefault="0032334D" w14:paraId="378C1457" w14:textId="77777777">
            <w:pPr>
              <w:spacing w:before="80" w:after="80"/>
              <w:jc w:val="both"/>
            </w:pPr>
            <w:r>
              <w:rPr>
                <w:rFonts w:ascii="Arial" w:hAnsi="Arial" w:cs="Arial"/>
                <w:b/>
                <w:sz w:val="19"/>
                <w:szCs w:val="19"/>
              </w:rPr>
              <w:t>NPS durante la transición</w:t>
            </w:r>
          </w:p>
        </w:tc>
        <w:tc>
          <w:tcPr>
            <w:tcW w:w="2313"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32334D" w:rsidP="008D2625" w:rsidRDefault="0032334D" w14:paraId="13F51DEE" w14:textId="77777777">
            <w:pPr>
              <w:spacing w:before="80" w:after="80"/>
              <w:jc w:val="center"/>
            </w:pPr>
            <w:r>
              <w:rPr>
                <w:color w:val="555555"/>
                <w:sz w:val="18"/>
                <w:szCs w:val="18"/>
              </w:rPr>
              <w:t>Sin degradación</w:t>
            </w:r>
          </w:p>
        </w:tc>
        <w:tc>
          <w:tcPr>
            <w:tcW w:w="2313"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32334D" w:rsidP="008D2625" w:rsidRDefault="0032334D" w14:paraId="3D8A0283" w14:textId="77777777">
            <w:pPr>
              <w:spacing w:before="80" w:after="80"/>
              <w:jc w:val="center"/>
            </w:pPr>
            <w:r>
              <w:rPr>
                <w:color w:val="555555"/>
                <w:sz w:val="18"/>
                <w:szCs w:val="18"/>
              </w:rPr>
              <w:t xml:space="preserve">Mantenido respecto a </w:t>
            </w:r>
            <w:proofErr w:type="spellStart"/>
            <w:r>
              <w:rPr>
                <w:color w:val="555555"/>
                <w:sz w:val="18"/>
                <w:szCs w:val="18"/>
              </w:rPr>
              <w:t>baseline</w:t>
            </w:r>
            <w:proofErr w:type="spellEnd"/>
          </w:p>
        </w:tc>
      </w:tr>
    </w:tbl>
    <w:p w:rsidR="0032334D" w:rsidP="0032334D" w:rsidRDefault="0032334D" w14:paraId="78E24712" w14:textId="77777777">
      <w:pPr>
        <w:spacing w:before="200"/>
      </w:pPr>
    </w:p>
    <w:p w:rsidR="0032334D" w:rsidP="0032334D" w:rsidRDefault="0032334D" w14:paraId="1BCD88FC" w14:textId="77777777">
      <w:pPr>
        <w:spacing w:after="100"/>
      </w:pPr>
      <w:r>
        <w:rPr>
          <w:rFonts w:ascii="Arial" w:hAnsi="Arial" w:cs="Arial"/>
          <w:b/>
          <w:sz w:val="16"/>
          <w:szCs w:val="16"/>
        </w:rPr>
        <w:t>EVOLUCIÓN — Objetivos de la nueva propuesta de valor</w:t>
      </w:r>
    </w:p>
    <w:tbl>
      <w:tblPr>
        <w:tblW w:w="9026" w:type="dxa"/>
        <w:tblCellMar>
          <w:left w:w="10" w:type="dxa"/>
          <w:right w:w="10" w:type="dxa"/>
        </w:tblCellMar>
        <w:tblLook w:val="0000" w:firstRow="0" w:lastRow="0" w:firstColumn="0" w:lastColumn="0" w:noHBand="0" w:noVBand="0"/>
      </w:tblPr>
      <w:tblGrid>
        <w:gridCol w:w="4400"/>
        <w:gridCol w:w="2313"/>
        <w:gridCol w:w="2313"/>
      </w:tblGrid>
      <w:tr w:rsidR="0032334D" w:rsidTr="008D2625" w14:paraId="4CF9EA5E" w14:textId="77777777">
        <w:tblPrEx>
          <w:tblCellMar>
            <w:top w:w="0" w:type="dxa"/>
            <w:bottom w:w="0" w:type="dxa"/>
          </w:tblCellMar>
        </w:tblPrEx>
        <w:trPr>
          <w:tblHeader/>
        </w:trPr>
        <w:tc>
          <w:tcPr>
            <w:tcW w:w="4400" w:type="dxa"/>
            <w:shd w:val="clear" w:color="auto" w:fill="2C2C2A"/>
            <w:tcMar>
              <w:top w:w="80" w:type="dxa"/>
              <w:left w:w="140" w:type="dxa"/>
              <w:bottom w:w="80" w:type="dxa"/>
              <w:right w:w="100" w:type="dxa"/>
            </w:tcMar>
          </w:tcPr>
          <w:p w:rsidR="0032334D" w:rsidP="008D2625" w:rsidRDefault="0032334D" w14:paraId="370CE05F" w14:textId="77777777">
            <w:pPr>
              <w:spacing w:before="80" w:after="80"/>
            </w:pPr>
            <w:r>
              <w:rPr>
                <w:rFonts w:ascii="Arial" w:hAnsi="Arial" w:cs="Arial"/>
                <w:b/>
                <w:color w:val="FFFFFF"/>
                <w:sz w:val="18"/>
                <w:szCs w:val="18"/>
              </w:rPr>
              <w:t>Capacidad / servicio</w:t>
            </w:r>
          </w:p>
        </w:tc>
        <w:tc>
          <w:tcPr>
            <w:tcW w:w="2313" w:type="dxa"/>
            <w:shd w:val="clear" w:color="auto" w:fill="2C2C2A"/>
            <w:tcMar>
              <w:top w:w="80" w:type="dxa"/>
              <w:left w:w="140" w:type="dxa"/>
              <w:bottom w:w="80" w:type="dxa"/>
              <w:right w:w="100" w:type="dxa"/>
            </w:tcMar>
          </w:tcPr>
          <w:p w:rsidR="0032334D" w:rsidP="008D2625" w:rsidRDefault="0032334D" w14:paraId="04087887" w14:textId="77777777">
            <w:pPr>
              <w:spacing w:before="80" w:after="80"/>
            </w:pPr>
            <w:r>
              <w:rPr>
                <w:rFonts w:ascii="Arial" w:hAnsi="Arial" w:cs="Arial"/>
                <w:b/>
                <w:color w:val="FFFFFF"/>
                <w:sz w:val="18"/>
                <w:szCs w:val="18"/>
              </w:rPr>
              <w:t>Estado</w:t>
            </w:r>
          </w:p>
        </w:tc>
        <w:tc>
          <w:tcPr>
            <w:tcW w:w="2313" w:type="dxa"/>
            <w:shd w:val="clear" w:color="auto" w:fill="2C2C2A"/>
            <w:tcMar>
              <w:top w:w="80" w:type="dxa"/>
              <w:left w:w="140" w:type="dxa"/>
              <w:bottom w:w="80" w:type="dxa"/>
              <w:right w:w="100" w:type="dxa"/>
            </w:tcMar>
          </w:tcPr>
          <w:p w:rsidR="0032334D" w:rsidP="008D2625" w:rsidRDefault="0032334D" w14:paraId="5404889E" w14:textId="77777777">
            <w:pPr>
              <w:spacing w:before="80" w:after="80"/>
            </w:pPr>
            <w:r>
              <w:rPr>
                <w:rFonts w:ascii="Arial" w:hAnsi="Arial" w:cs="Arial"/>
                <w:b/>
                <w:color w:val="FFFFFF"/>
                <w:sz w:val="18"/>
                <w:szCs w:val="18"/>
              </w:rPr>
              <w:t>Objetivo</w:t>
            </w:r>
          </w:p>
        </w:tc>
      </w:tr>
      <w:tr w:rsidR="0032334D" w:rsidTr="008D2625" w14:paraId="16EB7B97" w14:textId="77777777">
        <w:tblPrEx>
          <w:tblCellMar>
            <w:top w:w="0" w:type="dxa"/>
            <w:bottom w:w="0" w:type="dxa"/>
          </w:tblCellMar>
        </w:tblPrEx>
        <w:tc>
          <w:tcPr>
            <w:tcW w:w="44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2AA0F13D" w14:textId="77777777">
            <w:pPr>
              <w:spacing w:before="80" w:after="80"/>
              <w:jc w:val="both"/>
            </w:pPr>
            <w:r>
              <w:rPr>
                <w:rFonts w:ascii="Arial" w:hAnsi="Arial" w:cs="Arial"/>
                <w:b/>
                <w:sz w:val="19"/>
                <w:szCs w:val="19"/>
              </w:rPr>
              <w:t>Autorizaciones instantáneas con IA (solicitud multicanal)</w:t>
            </w:r>
          </w:p>
        </w:tc>
        <w:tc>
          <w:tcPr>
            <w:tcW w:w="2313"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7B5389DF" w14:textId="77777777">
            <w:pPr>
              <w:spacing w:before="80" w:after="80"/>
              <w:jc w:val="center"/>
            </w:pPr>
            <w:r>
              <w:rPr>
                <w:color w:val="555555"/>
                <w:sz w:val="18"/>
                <w:szCs w:val="18"/>
              </w:rPr>
              <w:t>Desplegado</w:t>
            </w:r>
          </w:p>
        </w:tc>
        <w:tc>
          <w:tcPr>
            <w:tcW w:w="2313"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4EDD329C" w14:textId="77777777">
            <w:pPr>
              <w:spacing w:before="80" w:after="80"/>
              <w:jc w:val="center"/>
            </w:pPr>
            <w:r>
              <w:rPr>
                <w:color w:val="555555"/>
                <w:sz w:val="18"/>
                <w:szCs w:val="18"/>
              </w:rPr>
              <w:t>80% resueltas en tiempo real</w:t>
            </w:r>
          </w:p>
        </w:tc>
      </w:tr>
      <w:tr w:rsidR="0032334D" w:rsidTr="008D2625" w14:paraId="1F55304D" w14:textId="77777777">
        <w:tblPrEx>
          <w:tblCellMar>
            <w:top w:w="0" w:type="dxa"/>
            <w:bottom w:w="0" w:type="dxa"/>
          </w:tblCellMar>
        </w:tblPrEx>
        <w:tc>
          <w:tcPr>
            <w:tcW w:w="44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32334D" w:rsidP="008D2625" w:rsidRDefault="0032334D" w14:paraId="62F11F6D" w14:textId="77777777">
            <w:pPr>
              <w:spacing w:before="80" w:after="80"/>
              <w:jc w:val="both"/>
            </w:pPr>
            <w:r>
              <w:rPr>
                <w:rFonts w:ascii="Arial" w:hAnsi="Arial" w:cs="Arial"/>
                <w:b/>
                <w:sz w:val="19"/>
                <w:szCs w:val="19"/>
              </w:rPr>
              <w:t>Reembolso de gastos en el día</w:t>
            </w:r>
          </w:p>
        </w:tc>
        <w:tc>
          <w:tcPr>
            <w:tcW w:w="2313"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32334D" w:rsidP="008D2625" w:rsidRDefault="0032334D" w14:paraId="574F950D" w14:textId="77777777">
            <w:pPr>
              <w:spacing w:before="80" w:after="80"/>
              <w:jc w:val="center"/>
            </w:pPr>
            <w:r>
              <w:rPr>
                <w:color w:val="555555"/>
                <w:sz w:val="18"/>
                <w:szCs w:val="18"/>
              </w:rPr>
              <w:t>Desplegado</w:t>
            </w:r>
          </w:p>
        </w:tc>
        <w:tc>
          <w:tcPr>
            <w:tcW w:w="2313"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32334D" w:rsidP="008D2625" w:rsidRDefault="0032334D" w14:paraId="2316089D" w14:textId="77777777">
            <w:pPr>
              <w:spacing w:before="80" w:after="80"/>
              <w:jc w:val="center"/>
            </w:pPr>
            <w:r>
              <w:rPr>
                <w:color w:val="555555"/>
                <w:sz w:val="18"/>
                <w:szCs w:val="18"/>
              </w:rPr>
              <w:t>100% de solicitudes completas</w:t>
            </w:r>
          </w:p>
        </w:tc>
      </w:tr>
      <w:tr w:rsidR="0032334D" w:rsidTr="008D2625" w14:paraId="1332FC8C" w14:textId="77777777">
        <w:tblPrEx>
          <w:tblCellMar>
            <w:top w:w="0" w:type="dxa"/>
            <w:bottom w:w="0" w:type="dxa"/>
          </w:tblCellMar>
        </w:tblPrEx>
        <w:tc>
          <w:tcPr>
            <w:tcW w:w="44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222AB578" w14:textId="77777777">
            <w:pPr>
              <w:spacing w:before="80" w:after="80"/>
              <w:jc w:val="both"/>
            </w:pPr>
            <w:r>
              <w:rPr>
                <w:rFonts w:ascii="Arial" w:hAnsi="Arial" w:cs="Arial"/>
                <w:b/>
                <w:sz w:val="19"/>
                <w:szCs w:val="19"/>
              </w:rPr>
              <w:t>Asistente virtual para cita online</w:t>
            </w:r>
          </w:p>
        </w:tc>
        <w:tc>
          <w:tcPr>
            <w:tcW w:w="2313"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5B80789C" w14:textId="77777777">
            <w:pPr>
              <w:spacing w:before="80" w:after="80"/>
              <w:jc w:val="center"/>
            </w:pPr>
            <w:r>
              <w:rPr>
                <w:color w:val="555555"/>
                <w:sz w:val="18"/>
                <w:szCs w:val="18"/>
              </w:rPr>
              <w:t>Desplegado</w:t>
            </w:r>
          </w:p>
        </w:tc>
        <w:tc>
          <w:tcPr>
            <w:tcW w:w="2313"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6A9FE577" w14:textId="77777777">
            <w:pPr>
              <w:spacing w:before="80" w:after="80"/>
              <w:jc w:val="center"/>
            </w:pPr>
            <w:r>
              <w:rPr>
                <w:color w:val="555555"/>
                <w:sz w:val="18"/>
                <w:szCs w:val="18"/>
              </w:rPr>
              <w:t xml:space="preserve">Disponible 24/7 en </w:t>
            </w:r>
            <w:proofErr w:type="gramStart"/>
            <w:r>
              <w:rPr>
                <w:color w:val="555555"/>
                <w:sz w:val="18"/>
                <w:szCs w:val="18"/>
              </w:rPr>
              <w:t>app</w:t>
            </w:r>
            <w:proofErr w:type="gramEnd"/>
            <w:r>
              <w:rPr>
                <w:color w:val="555555"/>
                <w:sz w:val="18"/>
                <w:szCs w:val="18"/>
              </w:rPr>
              <w:t xml:space="preserve"> y web</w:t>
            </w:r>
          </w:p>
        </w:tc>
      </w:tr>
      <w:tr w:rsidR="0032334D" w:rsidTr="008D2625" w14:paraId="57042B9C" w14:textId="77777777">
        <w:tblPrEx>
          <w:tblCellMar>
            <w:top w:w="0" w:type="dxa"/>
            <w:bottom w:w="0" w:type="dxa"/>
          </w:tblCellMar>
        </w:tblPrEx>
        <w:tc>
          <w:tcPr>
            <w:tcW w:w="44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32334D" w:rsidP="008D2625" w:rsidRDefault="0032334D" w14:paraId="260F3312" w14:textId="77777777">
            <w:pPr>
              <w:spacing w:before="80" w:after="80"/>
              <w:jc w:val="both"/>
            </w:pPr>
            <w:r>
              <w:rPr>
                <w:rFonts w:ascii="Arial" w:hAnsi="Arial" w:cs="Arial"/>
                <w:b/>
                <w:sz w:val="19"/>
                <w:szCs w:val="19"/>
              </w:rPr>
              <w:t>Telemedicina integrada con historial y prescripción de pruebas</w:t>
            </w:r>
          </w:p>
        </w:tc>
        <w:tc>
          <w:tcPr>
            <w:tcW w:w="2313"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32334D" w:rsidP="008D2625" w:rsidRDefault="0032334D" w14:paraId="3026F376" w14:textId="77777777">
            <w:pPr>
              <w:spacing w:before="80" w:after="80"/>
              <w:jc w:val="center"/>
            </w:pPr>
            <w:r>
              <w:rPr>
                <w:color w:val="555555"/>
                <w:sz w:val="18"/>
                <w:szCs w:val="18"/>
              </w:rPr>
              <w:t>Desplegado</w:t>
            </w:r>
          </w:p>
        </w:tc>
        <w:tc>
          <w:tcPr>
            <w:tcW w:w="2313"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32334D" w:rsidP="008D2625" w:rsidRDefault="0032334D" w14:paraId="6156B900" w14:textId="77777777">
            <w:pPr>
              <w:spacing w:before="80" w:after="80"/>
              <w:jc w:val="center"/>
            </w:pPr>
            <w:r>
              <w:rPr>
                <w:color w:val="555555"/>
                <w:sz w:val="18"/>
                <w:szCs w:val="18"/>
              </w:rPr>
              <w:t>Disponible en todo el cuadro médico</w:t>
            </w:r>
          </w:p>
        </w:tc>
      </w:tr>
      <w:tr w:rsidR="0032334D" w:rsidTr="008D2625" w14:paraId="2C3FFAEC" w14:textId="77777777">
        <w:tblPrEx>
          <w:tblCellMar>
            <w:top w:w="0" w:type="dxa"/>
            <w:bottom w:w="0" w:type="dxa"/>
          </w:tblCellMar>
        </w:tblPrEx>
        <w:tc>
          <w:tcPr>
            <w:tcW w:w="44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5609EE1D" w14:textId="77777777">
            <w:pPr>
              <w:spacing w:before="80" w:after="80"/>
              <w:jc w:val="both"/>
            </w:pPr>
            <w:r>
              <w:rPr>
                <w:rFonts w:ascii="Arial" w:hAnsi="Arial" w:cs="Arial"/>
                <w:b/>
                <w:sz w:val="19"/>
                <w:szCs w:val="19"/>
              </w:rPr>
              <w:t>Seguimiento de pacientes crónicos por asistente virtual</w:t>
            </w:r>
          </w:p>
        </w:tc>
        <w:tc>
          <w:tcPr>
            <w:tcW w:w="2313"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5600C4B2" w14:textId="77777777">
            <w:pPr>
              <w:spacing w:before="80" w:after="80"/>
              <w:jc w:val="center"/>
            </w:pPr>
            <w:r>
              <w:rPr>
                <w:color w:val="555555"/>
                <w:sz w:val="18"/>
                <w:szCs w:val="18"/>
              </w:rPr>
              <w:t>En fase de despliegue</w:t>
            </w:r>
          </w:p>
        </w:tc>
        <w:tc>
          <w:tcPr>
            <w:tcW w:w="2313"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7686CBA9" w14:textId="77777777">
            <w:pPr>
              <w:spacing w:before="80" w:after="80"/>
              <w:jc w:val="center"/>
            </w:pPr>
            <w:r>
              <w:rPr>
                <w:color w:val="555555"/>
                <w:sz w:val="18"/>
                <w:szCs w:val="18"/>
              </w:rPr>
              <w:t>100% de crónicos con seguimiento activo</w:t>
            </w:r>
          </w:p>
        </w:tc>
      </w:tr>
      <w:tr w:rsidR="0032334D" w:rsidTr="008D2625" w14:paraId="54818435" w14:textId="77777777">
        <w:tblPrEx>
          <w:tblCellMar>
            <w:top w:w="0" w:type="dxa"/>
            <w:bottom w:w="0" w:type="dxa"/>
          </w:tblCellMar>
        </w:tblPrEx>
        <w:tc>
          <w:tcPr>
            <w:tcW w:w="44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32334D" w:rsidP="008D2625" w:rsidRDefault="0032334D" w14:paraId="2D89F232" w14:textId="77777777">
            <w:pPr>
              <w:spacing w:before="80" w:after="80"/>
              <w:jc w:val="both"/>
            </w:pPr>
            <w:r>
              <w:rPr>
                <w:rFonts w:ascii="Arial" w:hAnsi="Arial" w:cs="Arial"/>
                <w:b/>
                <w:sz w:val="19"/>
                <w:szCs w:val="19"/>
              </w:rPr>
              <w:t>Coberturas vinculadas a actividad física</w:t>
            </w:r>
          </w:p>
        </w:tc>
        <w:tc>
          <w:tcPr>
            <w:tcW w:w="2313"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32334D" w:rsidP="008D2625" w:rsidRDefault="0032334D" w14:paraId="201D466D" w14:textId="77777777">
            <w:pPr>
              <w:spacing w:before="80" w:after="80"/>
              <w:jc w:val="center"/>
            </w:pPr>
            <w:r>
              <w:rPr>
                <w:color w:val="555555"/>
                <w:sz w:val="18"/>
                <w:szCs w:val="18"/>
              </w:rPr>
              <w:t xml:space="preserve">En </w:t>
            </w:r>
            <w:proofErr w:type="spellStart"/>
            <w:r>
              <w:rPr>
                <w:color w:val="555555"/>
                <w:sz w:val="18"/>
                <w:szCs w:val="18"/>
              </w:rPr>
              <w:t>diseón</w:t>
            </w:r>
            <w:proofErr w:type="spellEnd"/>
          </w:p>
        </w:tc>
        <w:tc>
          <w:tcPr>
            <w:tcW w:w="2313"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32334D" w:rsidP="008D2625" w:rsidRDefault="0032334D" w14:paraId="1E238A68" w14:textId="77777777">
            <w:pPr>
              <w:spacing w:before="80" w:after="80"/>
              <w:jc w:val="center"/>
            </w:pPr>
            <w:r>
              <w:rPr>
                <w:color w:val="555555"/>
                <w:sz w:val="18"/>
                <w:szCs w:val="18"/>
              </w:rPr>
              <w:t>Lanzamiento en 2026</w:t>
            </w:r>
          </w:p>
        </w:tc>
      </w:tr>
      <w:tr w:rsidR="0032334D" w:rsidTr="008D2625" w14:paraId="089C9389" w14:textId="77777777">
        <w:tblPrEx>
          <w:tblCellMar>
            <w:top w:w="0" w:type="dxa"/>
            <w:bottom w:w="0" w:type="dxa"/>
          </w:tblCellMar>
        </w:tblPrEx>
        <w:tc>
          <w:tcPr>
            <w:tcW w:w="44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07B9C996" w14:textId="77777777">
            <w:pPr>
              <w:spacing w:before="80" w:after="80"/>
              <w:jc w:val="both"/>
            </w:pPr>
            <w:r>
              <w:rPr>
                <w:rFonts w:ascii="Arial" w:hAnsi="Arial" w:cs="Arial"/>
                <w:b/>
                <w:sz w:val="19"/>
                <w:szCs w:val="19"/>
              </w:rPr>
              <w:lastRenderedPageBreak/>
              <w:t>Visión 360 del asegurado (dato integrado presencial + digital)</w:t>
            </w:r>
          </w:p>
        </w:tc>
        <w:tc>
          <w:tcPr>
            <w:tcW w:w="2313"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7D773B48" w14:textId="77777777">
            <w:pPr>
              <w:spacing w:before="80" w:after="80"/>
              <w:jc w:val="center"/>
            </w:pPr>
            <w:r>
              <w:rPr>
                <w:color w:val="555555"/>
                <w:sz w:val="18"/>
                <w:szCs w:val="18"/>
              </w:rPr>
              <w:t>En desarrollo</w:t>
            </w:r>
          </w:p>
        </w:tc>
        <w:tc>
          <w:tcPr>
            <w:tcW w:w="2313"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622A3769" w14:textId="77777777">
            <w:pPr>
              <w:spacing w:before="80" w:after="80"/>
              <w:jc w:val="center"/>
            </w:pPr>
            <w:r>
              <w:rPr>
                <w:color w:val="555555"/>
                <w:sz w:val="18"/>
                <w:szCs w:val="18"/>
              </w:rPr>
              <w:t>Operativa para todos los servicios</w:t>
            </w:r>
          </w:p>
        </w:tc>
      </w:tr>
    </w:tbl>
    <w:p w:rsidR="0032334D" w:rsidP="0032334D" w:rsidRDefault="0032334D" w14:paraId="79D4A0D2" w14:textId="77777777">
      <w:pPr>
        <w:spacing w:before="120"/>
      </w:pPr>
    </w:p>
    <w:p w:rsidR="0032334D" w:rsidP="0032334D" w:rsidRDefault="0032334D" w14:paraId="6D2A7F03" w14:textId="77777777">
      <w:pPr>
        <w:pBdr>
          <w:bottom w:val="single" w:color="D3D1C7" w:sz="1" w:space="1"/>
        </w:pBdr>
        <w:spacing w:before="200" w:after="240"/>
      </w:pPr>
    </w:p>
    <w:p w:rsidR="0032334D" w:rsidP="0032334D" w:rsidRDefault="0032334D" w14:paraId="1257977E" w14:textId="77777777">
      <w:pPr>
        <w:spacing w:after="120"/>
      </w:pPr>
      <w:r>
        <w:rPr>
          <w:rFonts w:ascii="Arial" w:hAnsi="Arial" w:cs="Arial"/>
          <w:color w:val="888888"/>
          <w:sz w:val="16"/>
          <w:szCs w:val="16"/>
        </w:rPr>
        <w:t>IMPLICACIONES ORGANIZATIVAS</w:t>
      </w:r>
    </w:p>
    <w:p w:rsidR="0032334D" w:rsidP="0032334D" w:rsidRDefault="0032334D" w14:paraId="455B8AEC" w14:textId="77777777">
      <w:pPr>
        <w:spacing w:after="160"/>
      </w:pPr>
      <w:r>
        <w:rPr>
          <w:rFonts w:ascii="Arial" w:hAnsi="Arial" w:cs="Arial"/>
          <w:b/>
          <w:sz w:val="30"/>
          <w:szCs w:val="30"/>
        </w:rPr>
        <w:t>Un relanzamiento con tres dimensiones de cambio simultáneo</w:t>
      </w:r>
    </w:p>
    <w:tbl>
      <w:tblPr>
        <w:tblW w:w="9026" w:type="dxa"/>
        <w:tblCellMar>
          <w:left w:w="10" w:type="dxa"/>
          <w:right w:w="10" w:type="dxa"/>
        </w:tblCellMar>
        <w:tblLook w:val="0000" w:firstRow="0" w:lastRow="0" w:firstColumn="0" w:lastColumn="0" w:noHBand="0" w:noVBand="0"/>
      </w:tblPr>
      <w:tblGrid>
        <w:gridCol w:w="9026"/>
      </w:tblGrid>
      <w:tr w:rsidR="0032334D" w:rsidTr="008D2625" w14:paraId="3B87F509" w14:textId="77777777">
        <w:tblPrEx>
          <w:tblCellMar>
            <w:top w:w="0" w:type="dxa"/>
            <w:bottom w:w="0" w:type="dxa"/>
          </w:tblCellMar>
        </w:tblPrEx>
        <w:tc>
          <w:tcPr>
            <w:tcW w:w="9026" w:type="dxa"/>
            <w:tcBorders>
              <w:top w:val="single" w:color="E0DED8" w:sz="4" w:space="0"/>
              <w:left w:val="single" w:color="BE2A2A" w:sz="18" w:space="0"/>
              <w:bottom w:val="single" w:color="E0DED8" w:sz="4" w:space="0"/>
              <w:right w:val="single" w:color="E0DED8" w:sz="4" w:space="0"/>
            </w:tcBorders>
            <w:shd w:val="clear" w:color="auto" w:fill="FFFFFF"/>
            <w:tcMar>
              <w:top w:w="100" w:type="dxa"/>
              <w:left w:w="200" w:type="dxa"/>
              <w:bottom w:w="100" w:type="dxa"/>
              <w:right w:w="140" w:type="dxa"/>
            </w:tcMar>
          </w:tcPr>
          <w:p w:rsidR="0032334D" w:rsidP="008D2625" w:rsidRDefault="0032334D" w14:paraId="63ED6AE1" w14:textId="77777777">
            <w:pPr>
              <w:spacing w:before="100" w:after="60"/>
            </w:pPr>
            <w:r>
              <w:rPr>
                <w:rFonts w:ascii="Arial" w:hAnsi="Arial" w:cs="Arial"/>
                <w:b/>
                <w:sz w:val="20"/>
                <w:szCs w:val="20"/>
              </w:rPr>
              <w:t>Dimensión asistencial — Nuevo modelo presencial + online</w:t>
            </w:r>
          </w:p>
          <w:p w:rsidR="0032334D" w:rsidP="008D2625" w:rsidRDefault="0032334D" w14:paraId="262A3034" w14:textId="77777777">
            <w:pPr>
              <w:spacing w:after="100"/>
              <w:jc w:val="both"/>
            </w:pPr>
            <w:r>
              <w:rPr>
                <w:color w:val="555555"/>
                <w:sz w:val="20"/>
                <w:szCs w:val="20"/>
              </w:rPr>
              <w:t>El modelo asistencial integrado requiere que los procesos de coordinación entre la asistencia presencial y la telemedicina estén diseñados desde la lógica del paciente, no desde la del canal. Transformación ha liderado el diseño de los flujos asistenciales que garantizan que el médico online tiene visibilidad del historial del paciente y que la telemedicina se usa para acelerar y complementar, no para sustituir cuando no corresponde.</w:t>
            </w:r>
          </w:p>
        </w:tc>
      </w:tr>
    </w:tbl>
    <w:p w:rsidR="0032334D" w:rsidP="0032334D" w:rsidRDefault="0032334D" w14:paraId="69D0324F" w14:textId="77777777">
      <w:pPr>
        <w:spacing w:before="80"/>
      </w:pPr>
    </w:p>
    <w:tbl>
      <w:tblPr>
        <w:tblW w:w="9026" w:type="dxa"/>
        <w:tblCellMar>
          <w:left w:w="10" w:type="dxa"/>
          <w:right w:w="10" w:type="dxa"/>
        </w:tblCellMar>
        <w:tblLook w:val="0000" w:firstRow="0" w:lastRow="0" w:firstColumn="0" w:lastColumn="0" w:noHBand="0" w:noVBand="0"/>
      </w:tblPr>
      <w:tblGrid>
        <w:gridCol w:w="9026"/>
      </w:tblGrid>
      <w:tr w:rsidR="0032334D" w:rsidTr="008D2625" w14:paraId="03E09B5C" w14:textId="77777777">
        <w:tblPrEx>
          <w:tblCellMar>
            <w:top w:w="0" w:type="dxa"/>
            <w:bottom w:w="0" w:type="dxa"/>
          </w:tblCellMar>
        </w:tblPrEx>
        <w:tc>
          <w:tcPr>
            <w:tcW w:w="9026" w:type="dxa"/>
            <w:tcBorders>
              <w:top w:val="single" w:color="E0DED8" w:sz="4" w:space="0"/>
              <w:left w:val="single" w:color="BE2A2A" w:sz="18" w:space="0"/>
              <w:bottom w:val="single" w:color="E0DED8" w:sz="4" w:space="0"/>
              <w:right w:val="single" w:color="E0DED8" w:sz="4" w:space="0"/>
            </w:tcBorders>
            <w:shd w:val="clear" w:color="auto" w:fill="FFFFFF"/>
            <w:tcMar>
              <w:top w:w="100" w:type="dxa"/>
              <w:left w:w="200" w:type="dxa"/>
              <w:bottom w:w="100" w:type="dxa"/>
              <w:right w:w="140" w:type="dxa"/>
            </w:tcMar>
          </w:tcPr>
          <w:p w:rsidR="0032334D" w:rsidP="008D2625" w:rsidRDefault="0032334D" w14:paraId="7326EAF2" w14:textId="77777777">
            <w:pPr>
              <w:spacing w:before="100" w:after="60"/>
            </w:pPr>
            <w:r>
              <w:rPr>
                <w:rFonts w:ascii="Arial" w:hAnsi="Arial" w:cs="Arial"/>
                <w:b/>
                <w:sz w:val="20"/>
                <w:szCs w:val="20"/>
              </w:rPr>
              <w:t>Dimensión tecnológica — IA, integraciones y plataforma digital</w:t>
            </w:r>
          </w:p>
          <w:p w:rsidR="0032334D" w:rsidP="008D2625" w:rsidRDefault="0032334D" w14:paraId="3710357C" w14:textId="77777777">
            <w:pPr>
              <w:spacing w:after="100"/>
              <w:jc w:val="both"/>
            </w:pPr>
            <w:r>
              <w:rPr>
                <w:color w:val="555555"/>
                <w:sz w:val="20"/>
                <w:szCs w:val="20"/>
              </w:rPr>
              <w:t xml:space="preserve">La IA en autorizaciones, el asistente virtual de citas, el seguimiento de crónicos y la visión 360 del asegurado son capacidades que requieren integraciones profundas entre los sistemas </w:t>
            </w:r>
            <w:proofErr w:type="spellStart"/>
            <w:r>
              <w:rPr>
                <w:color w:val="555555"/>
                <w:sz w:val="20"/>
                <w:szCs w:val="20"/>
              </w:rPr>
              <w:t>core</w:t>
            </w:r>
            <w:proofErr w:type="spellEnd"/>
            <w:r>
              <w:rPr>
                <w:color w:val="555555"/>
                <w:sz w:val="20"/>
                <w:szCs w:val="20"/>
              </w:rPr>
              <w:t xml:space="preserve"> de Línea Directa y la plataforma de HNA. El equipo de Tecnología interno y el equipo técnico del proveedor han trabajado conjuntamente en estas integraciones desde el inicio, con una arquitectura diseñada para que las nuevas capacidades se puedan desplegar incrementalmente sin afectar a la estabilidad del servicio.</w:t>
            </w:r>
          </w:p>
        </w:tc>
      </w:tr>
    </w:tbl>
    <w:p w:rsidR="0032334D" w:rsidP="0032334D" w:rsidRDefault="0032334D" w14:paraId="5AB4CC92" w14:textId="77777777">
      <w:pPr>
        <w:spacing w:before="80"/>
      </w:pPr>
    </w:p>
    <w:tbl>
      <w:tblPr>
        <w:tblW w:w="9026" w:type="dxa"/>
        <w:tblCellMar>
          <w:left w:w="10" w:type="dxa"/>
          <w:right w:w="10" w:type="dxa"/>
        </w:tblCellMar>
        <w:tblLook w:val="0000" w:firstRow="0" w:lastRow="0" w:firstColumn="0" w:lastColumn="0" w:noHBand="0" w:noVBand="0"/>
      </w:tblPr>
      <w:tblGrid>
        <w:gridCol w:w="9026"/>
      </w:tblGrid>
      <w:tr w:rsidR="0032334D" w:rsidTr="008D2625" w14:paraId="4F41B8EB" w14:textId="77777777">
        <w:tblPrEx>
          <w:tblCellMar>
            <w:top w:w="0" w:type="dxa"/>
            <w:bottom w:w="0" w:type="dxa"/>
          </w:tblCellMar>
        </w:tblPrEx>
        <w:tc>
          <w:tcPr>
            <w:tcW w:w="9026" w:type="dxa"/>
            <w:tcBorders>
              <w:top w:val="single" w:color="E0DED8" w:sz="4" w:space="0"/>
              <w:left w:val="single" w:color="BE2A2A" w:sz="18" w:space="0"/>
              <w:bottom w:val="single" w:color="E0DED8" w:sz="4" w:space="0"/>
              <w:right w:val="single" w:color="E0DED8" w:sz="4" w:space="0"/>
            </w:tcBorders>
            <w:shd w:val="clear" w:color="auto" w:fill="FFFFFF"/>
            <w:tcMar>
              <w:top w:w="100" w:type="dxa"/>
              <w:left w:w="200" w:type="dxa"/>
              <w:bottom w:w="100" w:type="dxa"/>
              <w:right w:w="140" w:type="dxa"/>
            </w:tcMar>
          </w:tcPr>
          <w:p w:rsidR="0032334D" w:rsidP="008D2625" w:rsidRDefault="0032334D" w14:paraId="6518E710" w14:textId="77777777">
            <w:pPr>
              <w:spacing w:before="100" w:after="60"/>
            </w:pPr>
            <w:r>
              <w:rPr>
                <w:rFonts w:ascii="Arial" w:hAnsi="Arial" w:cs="Arial"/>
                <w:b/>
                <w:sz w:val="20"/>
                <w:szCs w:val="20"/>
              </w:rPr>
              <w:t>Dimensión de datos — La visión 360 del asegurado de salud</w:t>
            </w:r>
          </w:p>
          <w:p w:rsidR="0032334D" w:rsidP="008D2625" w:rsidRDefault="0032334D" w14:paraId="07652B7B" w14:textId="77777777">
            <w:pPr>
              <w:spacing w:after="100"/>
              <w:jc w:val="both"/>
            </w:pPr>
            <w:r>
              <w:rPr>
                <w:color w:val="555555"/>
                <w:sz w:val="20"/>
                <w:szCs w:val="20"/>
              </w:rPr>
              <w:t>El dominio de datos de Salud es el habilitador invisible de toda la experiencia. Integra datos de asistencia presencial, consultas online, autorizaciones, reembolsos y seguimiento crónico en un perfil unificado, gobernado con los estándares del Proyecto de Gobierno del Dato y conforme a la normativa específica de datos de salud. Esta base de dato integrada es lo que permite que la IA tenga la información necesaria, que el médico online vea el historial completo y que el asistente de crónicos tenga visibilidad de las prescripciones activas.</w:t>
            </w:r>
          </w:p>
        </w:tc>
      </w:tr>
    </w:tbl>
    <w:p w:rsidR="0032334D" w:rsidP="0032334D" w:rsidRDefault="0032334D" w14:paraId="275FE1CB" w14:textId="77777777">
      <w:pPr>
        <w:spacing w:before="80"/>
      </w:pPr>
    </w:p>
    <w:p w:rsidR="0032334D" w:rsidP="0032334D" w:rsidRDefault="0032334D" w14:paraId="2465FB18" w14:textId="77777777">
      <w:pPr>
        <w:pBdr>
          <w:top w:val="single" w:color="D3D1C7" w:sz="1" w:space="1"/>
        </w:pBdr>
        <w:spacing w:before="240"/>
      </w:pPr>
    </w:p>
    <w:p w:rsidR="0032334D" w:rsidP="0032334D" w:rsidRDefault="0032334D" w14:paraId="775E9318" w14:textId="77777777">
      <w:pPr>
        <w:spacing w:before="200" w:after="160"/>
      </w:pPr>
      <w:r>
        <w:rPr>
          <w:rFonts w:ascii="Arial" w:hAnsi="Arial" w:cs="Arial"/>
          <w:b/>
          <w:sz w:val="24"/>
          <w:szCs w:val="24"/>
        </w:rPr>
        <w:t>Áreas implicadas y misión en el proyecto</w:t>
      </w:r>
    </w:p>
    <w:tbl>
      <w:tblPr>
        <w:tblW w:w="9026" w:type="dxa"/>
        <w:tblCellMar>
          <w:left w:w="10" w:type="dxa"/>
          <w:right w:w="10" w:type="dxa"/>
        </w:tblCellMar>
        <w:tblLook w:val="0000" w:firstRow="0" w:lastRow="0" w:firstColumn="0" w:lastColumn="0" w:noHBand="0" w:noVBand="0"/>
      </w:tblPr>
      <w:tblGrid>
        <w:gridCol w:w="2800"/>
        <w:gridCol w:w="6226"/>
      </w:tblGrid>
      <w:tr w:rsidR="0032334D" w:rsidTr="008D2625" w14:paraId="79958421" w14:textId="77777777">
        <w:tblPrEx>
          <w:tblCellMar>
            <w:top w:w="0" w:type="dxa"/>
            <w:bottom w:w="0" w:type="dxa"/>
          </w:tblCellMar>
        </w:tblPrEx>
        <w:trPr>
          <w:tblHeader/>
        </w:trPr>
        <w:tc>
          <w:tcPr>
            <w:tcW w:w="2800" w:type="dxa"/>
            <w:shd w:val="clear" w:color="auto" w:fill="3D3D3B"/>
            <w:tcMar>
              <w:top w:w="80" w:type="dxa"/>
              <w:left w:w="140" w:type="dxa"/>
              <w:bottom w:w="80" w:type="dxa"/>
              <w:right w:w="100" w:type="dxa"/>
            </w:tcMar>
          </w:tcPr>
          <w:p w:rsidR="0032334D" w:rsidP="008D2625" w:rsidRDefault="0032334D" w14:paraId="023DF596" w14:textId="77777777">
            <w:pPr>
              <w:spacing w:before="80" w:after="80"/>
            </w:pPr>
            <w:r>
              <w:rPr>
                <w:rFonts w:ascii="Arial" w:hAnsi="Arial" w:cs="Arial"/>
                <w:b/>
                <w:color w:val="FFFFFF"/>
                <w:sz w:val="18"/>
                <w:szCs w:val="18"/>
              </w:rPr>
              <w:t>Área implicada</w:t>
            </w:r>
          </w:p>
        </w:tc>
        <w:tc>
          <w:tcPr>
            <w:tcW w:w="6226" w:type="dxa"/>
            <w:shd w:val="clear" w:color="auto" w:fill="3D3D3B"/>
            <w:tcMar>
              <w:top w:w="80" w:type="dxa"/>
              <w:left w:w="140" w:type="dxa"/>
              <w:bottom w:w="80" w:type="dxa"/>
              <w:right w:w="100" w:type="dxa"/>
            </w:tcMar>
          </w:tcPr>
          <w:p w:rsidR="0032334D" w:rsidP="008D2625" w:rsidRDefault="0032334D" w14:paraId="1E032455" w14:textId="77777777">
            <w:pPr>
              <w:spacing w:before="80" w:after="80"/>
            </w:pPr>
            <w:r>
              <w:rPr>
                <w:rFonts w:ascii="Arial" w:hAnsi="Arial" w:cs="Arial"/>
                <w:b/>
                <w:color w:val="FFFFFF"/>
                <w:sz w:val="18"/>
                <w:szCs w:val="18"/>
              </w:rPr>
              <w:t>Misión en el proyecto</w:t>
            </w:r>
          </w:p>
        </w:tc>
      </w:tr>
      <w:tr w:rsidR="0032334D" w:rsidTr="008D2625" w14:paraId="1512B506" w14:textId="77777777">
        <w:tblPrEx>
          <w:tblCellMar>
            <w:top w:w="0" w:type="dxa"/>
            <w:bottom w:w="0" w:type="dxa"/>
          </w:tblCellMar>
        </w:tblPrEx>
        <w:tc>
          <w:tcPr>
            <w:tcW w:w="28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77FAE01E" w14:textId="77777777">
            <w:pPr>
              <w:spacing w:before="80" w:after="60"/>
            </w:pPr>
            <w:r>
              <w:rPr>
                <w:rFonts w:ascii="Arial" w:hAnsi="Arial" w:cs="Arial"/>
                <w:b/>
                <w:sz w:val="19"/>
                <w:szCs w:val="19"/>
              </w:rPr>
              <w:t>Negocio (Salud)</w:t>
            </w:r>
          </w:p>
        </w:tc>
        <w:tc>
          <w:tcPr>
            <w:tcW w:w="62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6E74E218" w14:textId="77777777">
            <w:pPr>
              <w:spacing w:before="80" w:after="80"/>
              <w:jc w:val="both"/>
            </w:pPr>
            <w:r>
              <w:rPr>
                <w:color w:val="555555"/>
                <w:sz w:val="19"/>
                <w:szCs w:val="19"/>
              </w:rPr>
              <w:t>Propietaria del relanzamiento y de la propuesta de valor. Define las prioridades de la fase de evolución, valida las nuevas capacidades desde la perspectiva del asegurado y gestiona la relación estratégica con HNA.</w:t>
            </w:r>
          </w:p>
        </w:tc>
      </w:tr>
      <w:tr w:rsidR="0032334D" w:rsidTr="008D2625" w14:paraId="2E7649C7" w14:textId="77777777">
        <w:tblPrEx>
          <w:tblCellMar>
            <w:top w:w="0" w:type="dxa"/>
            <w:bottom w:w="0" w:type="dxa"/>
          </w:tblCellMar>
        </w:tblPrEx>
        <w:tc>
          <w:tcPr>
            <w:tcW w:w="28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32334D" w:rsidP="008D2625" w:rsidRDefault="0032334D" w14:paraId="09B755DD" w14:textId="77777777">
            <w:pPr>
              <w:spacing w:before="80" w:after="60"/>
            </w:pPr>
            <w:r>
              <w:rPr>
                <w:rFonts w:ascii="Arial" w:hAnsi="Arial" w:cs="Arial"/>
                <w:b/>
                <w:sz w:val="19"/>
                <w:szCs w:val="19"/>
              </w:rPr>
              <w:t>Transformación</w:t>
            </w:r>
          </w:p>
        </w:tc>
        <w:tc>
          <w:tcPr>
            <w:tcW w:w="62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32334D" w:rsidP="008D2625" w:rsidRDefault="0032334D" w14:paraId="5965B8FB" w14:textId="77777777">
            <w:pPr>
              <w:spacing w:before="80" w:after="80"/>
              <w:jc w:val="both"/>
            </w:pPr>
            <w:r>
              <w:rPr>
                <w:color w:val="555555"/>
                <w:sz w:val="19"/>
                <w:szCs w:val="19"/>
              </w:rPr>
              <w:t>Diseña los nuevos flujos asistenciales integrados, los procesos de autorización y reembolso digitales y la experiencia del asegurado en cada punto de contacto del nuevo modelo.</w:t>
            </w:r>
          </w:p>
        </w:tc>
      </w:tr>
      <w:tr w:rsidR="0032334D" w:rsidTr="008D2625" w14:paraId="2F4D8886" w14:textId="77777777">
        <w:tblPrEx>
          <w:tblCellMar>
            <w:top w:w="0" w:type="dxa"/>
            <w:bottom w:w="0" w:type="dxa"/>
          </w:tblCellMar>
        </w:tblPrEx>
        <w:tc>
          <w:tcPr>
            <w:tcW w:w="28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0AF933E8" w14:textId="77777777">
            <w:pPr>
              <w:spacing w:before="80" w:after="60"/>
            </w:pPr>
            <w:r>
              <w:rPr>
                <w:rFonts w:ascii="Arial" w:hAnsi="Arial" w:cs="Arial"/>
                <w:b/>
                <w:sz w:val="19"/>
                <w:szCs w:val="19"/>
              </w:rPr>
              <w:lastRenderedPageBreak/>
              <w:t>Tecnología (interna + HNA)</w:t>
            </w:r>
          </w:p>
        </w:tc>
        <w:tc>
          <w:tcPr>
            <w:tcW w:w="62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32334D" w:rsidP="008D2625" w:rsidRDefault="0032334D" w14:paraId="1549123E" w14:textId="77777777">
            <w:pPr>
              <w:spacing w:before="80" w:after="80"/>
              <w:jc w:val="both"/>
            </w:pPr>
            <w:r>
              <w:rPr>
                <w:color w:val="555555"/>
                <w:sz w:val="19"/>
                <w:szCs w:val="19"/>
              </w:rPr>
              <w:t>Implementa las integraciones técnicas, la IA de autorizaciones, el asistente virtual y la infraestructura de datos que soporta la visión 360 del asegurado.</w:t>
            </w:r>
          </w:p>
        </w:tc>
      </w:tr>
    </w:tbl>
    <w:p w:rsidR="0032334D" w:rsidP="0032334D" w:rsidRDefault="0032334D" w14:paraId="4C7B58C4" w14:textId="77777777">
      <w:pPr>
        <w:spacing w:before="100" w:after="100"/>
      </w:pPr>
    </w:p>
    <w:p w:rsidR="0032334D" w:rsidP="0032334D" w:rsidRDefault="0032334D" w14:paraId="33093A1C" w14:textId="77777777">
      <w:pPr>
        <w:pBdr>
          <w:bottom w:val="single" w:color="D3D1C7" w:sz="1" w:space="1"/>
        </w:pBdr>
        <w:spacing w:before="200" w:after="240"/>
      </w:pPr>
    </w:p>
    <w:p w:rsidR="0032334D" w:rsidP="0032334D" w:rsidRDefault="0032334D" w14:paraId="04071506" w14:textId="77777777">
      <w:pPr>
        <w:spacing w:after="120"/>
      </w:pPr>
      <w:r>
        <w:rPr>
          <w:rFonts w:ascii="Arial" w:hAnsi="Arial" w:cs="Arial"/>
          <w:color w:val="888888"/>
          <w:sz w:val="16"/>
          <w:szCs w:val="16"/>
        </w:rPr>
        <w:t>PROYECTOS INTERDEPENDIENTES</w:t>
      </w:r>
    </w:p>
    <w:p w:rsidR="0032334D" w:rsidP="0032334D" w:rsidRDefault="0032334D" w14:paraId="1EBE3A48" w14:textId="77777777">
      <w:pPr>
        <w:spacing w:after="160"/>
      </w:pPr>
      <w:r>
        <w:rPr>
          <w:rFonts w:ascii="Arial" w:hAnsi="Arial" w:cs="Arial"/>
          <w:b/>
          <w:sz w:val="30"/>
          <w:szCs w:val="30"/>
        </w:rPr>
        <w:t>El dato integrado de salud es la dependencia crítica de toda la nueva propuesta de valor</w:t>
      </w:r>
    </w:p>
    <w:tbl>
      <w:tblPr>
        <w:tblW w:w="9026" w:type="dxa"/>
        <w:tblCellMar>
          <w:left w:w="10" w:type="dxa"/>
          <w:right w:w="10" w:type="dxa"/>
        </w:tblCellMar>
        <w:tblLook w:val="0000" w:firstRow="0" w:lastRow="0" w:firstColumn="0" w:lastColumn="0" w:noHBand="0" w:noVBand="0"/>
      </w:tblPr>
      <w:tblGrid>
        <w:gridCol w:w="9026"/>
      </w:tblGrid>
      <w:tr w:rsidR="0032334D" w:rsidTr="008D2625" w14:paraId="0B17AC04" w14:textId="77777777">
        <w:tblPrEx>
          <w:tblCellMar>
            <w:top w:w="0" w:type="dxa"/>
            <w:bottom w:w="0" w:type="dxa"/>
          </w:tblCellMar>
        </w:tblPrEx>
        <w:tc>
          <w:tcPr>
            <w:tcW w:w="9026" w:type="dxa"/>
            <w:tcBorders>
              <w:top w:val="single" w:color="BE2A2A" w:sz="4" w:space="0"/>
              <w:left w:val="single" w:color="BE2A2A" w:sz="18" w:space="0"/>
              <w:bottom w:val="single" w:color="BE2A2A" w:sz="4" w:space="0"/>
              <w:right w:val="single" w:color="BE2A2A" w:sz="4" w:space="0"/>
            </w:tcBorders>
            <w:shd w:val="clear" w:color="auto" w:fill="FFFFFF"/>
            <w:tcMar>
              <w:top w:w="120" w:type="dxa"/>
              <w:left w:w="200" w:type="dxa"/>
              <w:bottom w:w="120" w:type="dxa"/>
              <w:right w:w="140" w:type="dxa"/>
            </w:tcMar>
          </w:tcPr>
          <w:p w:rsidR="0032334D" w:rsidP="008D2625" w:rsidRDefault="0032334D" w14:paraId="02CEB15B" w14:textId="77777777">
            <w:pPr>
              <w:spacing w:before="80" w:after="60"/>
            </w:pPr>
            <w:r>
              <w:rPr>
                <w:rFonts w:ascii="Arial" w:hAnsi="Arial" w:cs="Arial"/>
                <w:b/>
                <w:sz w:val="20"/>
                <w:szCs w:val="20"/>
              </w:rPr>
              <w:t>Gobierno del Dato — Dominio de Salud</w:t>
            </w:r>
          </w:p>
          <w:p w:rsidR="0032334D" w:rsidP="008D2625" w:rsidRDefault="0032334D" w14:paraId="4E769154" w14:textId="77777777">
            <w:pPr>
              <w:spacing w:after="60"/>
            </w:pPr>
            <w:r>
              <w:rPr>
                <w:rFonts w:ascii="Arial" w:hAnsi="Arial" w:cs="Arial"/>
                <w:color w:val="BE2A2A"/>
                <w:sz w:val="17"/>
                <w:szCs w:val="17"/>
              </w:rPr>
              <w:t>Dependencia: Alta — crítica</w:t>
            </w:r>
          </w:p>
          <w:p w:rsidR="0032334D" w:rsidP="008D2625" w:rsidRDefault="0032334D" w14:paraId="35B20FDF" w14:textId="77777777">
            <w:pPr>
              <w:spacing w:after="100"/>
              <w:jc w:val="both"/>
            </w:pPr>
            <w:r>
              <w:rPr>
                <w:color w:val="555555"/>
                <w:sz w:val="20"/>
                <w:szCs w:val="20"/>
              </w:rPr>
              <w:t>La visión 360 del asegurado de salud —que habilita la IA en autorizaciones, el seguimiento de crónicos y la integración entre asistencia presencial y online— solo es posible si el dominio de datos de Salud está bien construido y gobernado. El proyecto de Gobierno del Dato es responsable de garantizar que los datos de diferentes proveedores y canales se integran con calidad certificada, trazabilidad completa y conformidad con la normativa específica de datos de salud, más exigente que el RGPD general. Sin esta base, las capacidades de IA y el modelo asistencial integrado no pueden operar de forma fiable.</w:t>
            </w:r>
          </w:p>
        </w:tc>
      </w:tr>
    </w:tbl>
    <w:p w:rsidR="0032334D" w:rsidP="0032334D" w:rsidRDefault="0032334D" w14:paraId="262ECC4D" w14:textId="77777777">
      <w:pPr>
        <w:spacing w:before="200" w:after="80"/>
      </w:pPr>
    </w:p>
    <w:p w:rsidR="0032334D" w:rsidP="0032334D" w:rsidRDefault="0032334D" w14:paraId="6C607E50" w14:textId="77777777">
      <w:pPr>
        <w:spacing w:after="120"/>
        <w:jc w:val="both"/>
      </w:pPr>
      <w:r>
        <w:rPr>
          <w:i/>
          <w:color w:val="888888"/>
          <w:sz w:val="19"/>
          <w:szCs w:val="19"/>
        </w:rPr>
        <w:t>El asegurado de salud de Línea Directa tiene ahora un seguro que no solo le cubre: le cuida. Esa es la diferencia entre un proveedor de asistencia y un compañero de salud.</w:t>
      </w:r>
    </w:p>
    <w:p w:rsidR="0032334D" w:rsidP="0032334D" w:rsidRDefault="0032334D" w14:paraId="4CDAA2D2" w14:textId="77777777">
      <w:pPr>
        <w:pBdr>
          <w:bottom w:val="single" w:color="D3D1C7" w:sz="1" w:space="1"/>
        </w:pBdr>
        <w:spacing w:before="280" w:after="120"/>
      </w:pPr>
    </w:p>
    <w:p w:rsidR="0032334D" w:rsidP="0032334D" w:rsidRDefault="0032334D" w14:paraId="7AA53185" w14:textId="77777777">
      <w:r>
        <w:rPr>
          <w:rFonts w:ascii="Arial" w:hAnsi="Arial" w:cs="Arial"/>
          <w:color w:val="888888"/>
          <w:sz w:val="16"/>
          <w:szCs w:val="16"/>
        </w:rPr>
        <w:t>Línea Directa Aseguradora · Documento de uso interno · Confidencial</w:t>
      </w:r>
    </w:p>
    <w:p w:rsidRPr="0032334D" w:rsidR="009F7CBF" w:rsidP="0032334D" w:rsidRDefault="009F7CBF" w14:paraId="329C170E" w14:textId="25EB6362"/>
    <w:sectPr w:rsidRPr="0032334D" w:rsidR="009F7CBF">
      <w:headerReference w:type="even" r:id="rId7"/>
      <w:headerReference w:type="default" r:id="rId8"/>
      <w:footerReference w:type="even" r:id="rId9"/>
      <w:footerReference w:type="default" r:id="rId10"/>
      <w:headerReference w:type="first" r:id="rId11"/>
      <w:footerReference w:type="first" r:id="rId12"/>
      <w:pgSz w:w="11906" w:h="16838" w:orient="portrait"/>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532B" w:rsidP="00F811B8" w:rsidRDefault="009B532B" w14:paraId="4C70591D" w14:textId="77777777">
      <w:r>
        <w:separator/>
      </w:r>
    </w:p>
  </w:endnote>
  <w:endnote w:type="continuationSeparator" w:id="0">
    <w:p w:rsidR="009B532B" w:rsidP="00F811B8" w:rsidRDefault="009B532B" w14:paraId="5BED715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811B8" w:rsidRDefault="00F811B8" w14:paraId="4B6A069F" w14:textId="2513C37C">
    <w:pPr>
      <w:pStyle w:val="Piedepgina"/>
    </w:pPr>
    <w:r>
      <w:rPr>
        <w:noProof/>
      </w:rPr>
      <mc:AlternateContent>
        <mc:Choice Requires="wps">
          <w:drawing>
            <wp:anchor distT="0" distB="0" distL="0" distR="0" simplePos="0" relativeHeight="251662336" behindDoc="0" locked="0" layoutInCell="1" allowOverlap="1" wp14:anchorId="023F22AC" wp14:editId="65EBF07F">
              <wp:simplePos x="635" y="635"/>
              <wp:positionH relativeFrom="page">
                <wp:align>center</wp:align>
              </wp:positionH>
              <wp:positionV relativeFrom="page">
                <wp:align>bottom</wp:align>
              </wp:positionV>
              <wp:extent cx="2259965" cy="314325"/>
              <wp:effectExtent l="0" t="0" r="6985" b="0"/>
              <wp:wrapNone/>
              <wp:docPr id="503112266" name="Cuadro de texto 5" descr="Uso Interno - No compartir fuera de la organiza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rsidRPr="00F811B8" w:rsidR="00F811B8" w:rsidP="00F811B8" w:rsidRDefault="00F811B8" w14:paraId="0000C8BE" w14:textId="3921C2F7">
                          <w:pPr>
                            <w:rPr>
                              <w:rFonts w:ascii="Aptos" w:hAnsi="Aptos" w:eastAsia="Aptos" w:cs="Aptos"/>
                              <w:noProof/>
                              <w:color w:val="000000"/>
                              <w:sz w:val="16"/>
                              <w:szCs w:val="16"/>
                            </w:rPr>
                          </w:pPr>
                          <w:r w:rsidRPr="00F811B8">
                            <w:rPr>
                              <w:rFonts w:ascii="Aptos" w:hAnsi="Aptos" w:eastAsia="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23F22AC">
              <v:stroke joinstyle="miter"/>
              <v:path gradientshapeok="t" o:connecttype="rect"/>
            </v:shapetype>
            <v:shape id="Cuadro de texto 5" style="position:absolute;margin-left:0;margin-top:0;width:177.95pt;height:24.75pt;z-index:251662336;visibility:visible;mso-wrap-style:none;mso-wrap-distance-left:0;mso-wrap-distance-top:0;mso-wrap-distance-right:0;mso-wrap-distance-bottom:0;mso-position-horizontal:center;mso-position-horizontal-relative:page;mso-position-vertical:bottom;mso-position-vertical-relative:page;v-text-anchor:bottom" alt="Uso Interno - No compartir fuera de la organización."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">
              <v:textbox style="mso-fit-shape-to-text:t" inset="0,0,0,15pt">
                <w:txbxContent>
                  <w:p w:rsidRPr="00F811B8" w:rsidR="00F811B8" w:rsidP="00F811B8" w:rsidRDefault="00F811B8" w14:paraId="0000C8BE" w14:textId="3921C2F7">
                    <w:pPr>
                      <w:rPr>
                        <w:rFonts w:ascii="Aptos" w:hAnsi="Aptos" w:eastAsia="Aptos" w:cs="Aptos"/>
                        <w:noProof/>
                        <w:color w:val="000000"/>
                        <w:sz w:val="16"/>
                        <w:szCs w:val="16"/>
                      </w:rPr>
                    </w:pPr>
                    <w:r w:rsidRPr="00F811B8">
                      <w:rPr>
                        <w:rFonts w:ascii="Aptos" w:hAnsi="Aptos" w:eastAsia="Aptos" w:cs="Aptos"/>
                        <w:noProof/>
                        <w:color w:val="000000"/>
                        <w:sz w:val="16"/>
                        <w:szCs w:val="16"/>
                      </w:rPr>
                      <w:t>Uso Interno - No compartir fuera de la organización.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811B8" w:rsidRDefault="00F811B8" w14:paraId="61E53CB1" w14:textId="7A1D78A6">
    <w:pPr>
      <w:pStyle w:val="Piedepgina"/>
    </w:pPr>
    <w:r>
      <w:rPr>
        <w:noProof/>
      </w:rPr>
      <mc:AlternateContent>
        <mc:Choice Requires="wps">
          <w:drawing>
            <wp:anchor distT="0" distB="0" distL="0" distR="0" simplePos="0" relativeHeight="251663360" behindDoc="0" locked="0" layoutInCell="1" allowOverlap="1" wp14:anchorId="57AA79C8" wp14:editId="3E23A7AB">
              <wp:simplePos x="635" y="635"/>
              <wp:positionH relativeFrom="page">
                <wp:align>center</wp:align>
              </wp:positionH>
              <wp:positionV relativeFrom="page">
                <wp:align>bottom</wp:align>
              </wp:positionV>
              <wp:extent cx="2259965" cy="314325"/>
              <wp:effectExtent l="0" t="0" r="6985" b="0"/>
              <wp:wrapNone/>
              <wp:docPr id="1065117690" name="Cuadro de texto 6" descr="Uso Interno - No compartir fuera de la organiza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rsidRPr="00F811B8" w:rsidR="00F811B8" w:rsidP="00F811B8" w:rsidRDefault="00F811B8" w14:paraId="5DDE7996" w14:textId="3AEB4C1B">
                          <w:pPr>
                            <w:rPr>
                              <w:rFonts w:ascii="Aptos" w:hAnsi="Aptos" w:eastAsia="Aptos" w:cs="Aptos"/>
                              <w:noProof/>
                              <w:color w:val="000000"/>
                              <w:sz w:val="16"/>
                              <w:szCs w:val="16"/>
                            </w:rPr>
                          </w:pPr>
                          <w:r w:rsidRPr="00F811B8">
                            <w:rPr>
                              <w:rFonts w:ascii="Aptos" w:hAnsi="Aptos" w:eastAsia="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57AA79C8">
              <v:stroke joinstyle="miter"/>
              <v:path gradientshapeok="t" o:connecttype="rect"/>
            </v:shapetype>
            <v:shape id="Cuadro de texto 6" style="position:absolute;margin-left:0;margin-top:0;width:177.95pt;height:24.75pt;z-index:251663360;visibility:visible;mso-wrap-style:none;mso-wrap-distance-left:0;mso-wrap-distance-top:0;mso-wrap-distance-right:0;mso-wrap-distance-bottom:0;mso-position-horizontal:center;mso-position-horizontal-relative:page;mso-position-vertical:bottom;mso-position-vertical-relative:page;v-text-anchor:bottom" alt="Uso Interno - No compartir fuera de la organización."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">
              <v:textbox style="mso-fit-shape-to-text:t" inset="0,0,0,15pt">
                <w:txbxContent>
                  <w:p w:rsidRPr="00F811B8" w:rsidR="00F811B8" w:rsidP="00F811B8" w:rsidRDefault="00F811B8" w14:paraId="5DDE7996" w14:textId="3AEB4C1B">
                    <w:pPr>
                      <w:rPr>
                        <w:rFonts w:ascii="Aptos" w:hAnsi="Aptos" w:eastAsia="Aptos" w:cs="Aptos"/>
                        <w:noProof/>
                        <w:color w:val="000000"/>
                        <w:sz w:val="16"/>
                        <w:szCs w:val="16"/>
                      </w:rPr>
                    </w:pPr>
                    <w:r w:rsidRPr="00F811B8">
                      <w:rPr>
                        <w:rFonts w:ascii="Aptos" w:hAnsi="Aptos" w:eastAsia="Aptos" w:cs="Aptos"/>
                        <w:noProof/>
                        <w:color w:val="000000"/>
                        <w:sz w:val="16"/>
                        <w:szCs w:val="16"/>
                      </w:rPr>
                      <w:t>Uso Interno - No compartir fuera de la organización.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811B8" w:rsidRDefault="00F811B8" w14:paraId="1A808050" w14:textId="2F91CB1F">
    <w:pPr>
      <w:pStyle w:val="Piedepgina"/>
    </w:pPr>
    <w:r>
      <w:rPr>
        <w:noProof/>
      </w:rPr>
      <mc:AlternateContent>
        <mc:Choice Requires="wps">
          <w:drawing>
            <wp:anchor distT="0" distB="0" distL="0" distR="0" simplePos="0" relativeHeight="251661312" behindDoc="0" locked="0" layoutInCell="1" allowOverlap="1" wp14:anchorId="072A30B1" wp14:editId="08918F40">
              <wp:simplePos x="635" y="635"/>
              <wp:positionH relativeFrom="page">
                <wp:align>center</wp:align>
              </wp:positionH>
              <wp:positionV relativeFrom="page">
                <wp:align>bottom</wp:align>
              </wp:positionV>
              <wp:extent cx="2259965" cy="314325"/>
              <wp:effectExtent l="0" t="0" r="6985" b="0"/>
              <wp:wrapNone/>
              <wp:docPr id="173105591" name="Cuadro de texto 4" descr="Uso Interno - No compartir fuera de la organiza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rsidRPr="00F811B8" w:rsidR="00F811B8" w:rsidP="00F811B8" w:rsidRDefault="00F811B8" w14:paraId="1396ADF7" w14:textId="169CA09E">
                          <w:pPr>
                            <w:rPr>
                              <w:rFonts w:ascii="Aptos" w:hAnsi="Aptos" w:eastAsia="Aptos" w:cs="Aptos"/>
                              <w:noProof/>
                              <w:color w:val="000000"/>
                              <w:sz w:val="16"/>
                              <w:szCs w:val="16"/>
                            </w:rPr>
                          </w:pPr>
                          <w:r w:rsidRPr="00F811B8">
                            <w:rPr>
                              <w:rFonts w:ascii="Aptos" w:hAnsi="Aptos" w:eastAsia="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72A30B1">
              <v:stroke joinstyle="miter"/>
              <v:path gradientshapeok="t" o:connecttype="rect"/>
            </v:shapetype>
            <v:shape id="Cuadro de texto 4" style="position:absolute;margin-left:0;margin-top:0;width:177.95pt;height:24.75pt;z-index:251661312;visibility:visible;mso-wrap-style:none;mso-wrap-distance-left:0;mso-wrap-distance-top:0;mso-wrap-distance-right:0;mso-wrap-distance-bottom:0;mso-position-horizontal:center;mso-position-horizontal-relative:page;mso-position-vertical:bottom;mso-position-vertical-relative:page;v-text-anchor:bottom" alt="Uso Interno - No compartir fuera de la organización."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">
              <v:textbox style="mso-fit-shape-to-text:t" inset="0,0,0,15pt">
                <w:txbxContent>
                  <w:p w:rsidRPr="00F811B8" w:rsidR="00F811B8" w:rsidP="00F811B8" w:rsidRDefault="00F811B8" w14:paraId="1396ADF7" w14:textId="169CA09E">
                    <w:pPr>
                      <w:rPr>
                        <w:rFonts w:ascii="Aptos" w:hAnsi="Aptos" w:eastAsia="Aptos" w:cs="Aptos"/>
                        <w:noProof/>
                        <w:color w:val="000000"/>
                        <w:sz w:val="16"/>
                        <w:szCs w:val="16"/>
                      </w:rPr>
                    </w:pPr>
                    <w:r w:rsidRPr="00F811B8">
                      <w:rPr>
                        <w:rFonts w:ascii="Aptos" w:hAnsi="Aptos" w:eastAsia="Aptos" w:cs="Aptos"/>
                        <w:noProof/>
                        <w:color w:val="000000"/>
                        <w:sz w:val="16"/>
                        <w:szCs w:val="16"/>
                      </w:rPr>
                      <w:t>Uso Interno - No compartir fuera de la organización.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532B" w:rsidP="00F811B8" w:rsidRDefault="009B532B" w14:paraId="61FCF191" w14:textId="77777777">
      <w:r>
        <w:separator/>
      </w:r>
    </w:p>
  </w:footnote>
  <w:footnote w:type="continuationSeparator" w:id="0">
    <w:p w:rsidR="009B532B" w:rsidP="00F811B8" w:rsidRDefault="009B532B" w14:paraId="182B343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811B8" w:rsidRDefault="00F811B8" w14:paraId="535A04DD" w14:textId="460D6060">
    <w:pPr>
      <w:pStyle w:val="Encabezado"/>
    </w:pPr>
    <w:r>
      <w:rPr>
        <w:noProof/>
      </w:rPr>
      <mc:AlternateContent>
        <mc:Choice Requires="wps">
          <w:drawing>
            <wp:anchor distT="0" distB="0" distL="0" distR="0" simplePos="0" relativeHeight="251659264" behindDoc="0" locked="0" layoutInCell="1" allowOverlap="1" wp14:anchorId="0A371C0B" wp14:editId="1A675EDF">
              <wp:simplePos x="635" y="635"/>
              <wp:positionH relativeFrom="page">
                <wp:align>left</wp:align>
              </wp:positionH>
              <wp:positionV relativeFrom="page">
                <wp:align>top</wp:align>
              </wp:positionV>
              <wp:extent cx="647700" cy="345440"/>
              <wp:effectExtent l="0" t="0" r="0" b="16510"/>
              <wp:wrapNone/>
              <wp:docPr id="1934310958" name="Cuadro de texto 2" descr="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rsidRPr="00F811B8" w:rsidR="00F811B8" w:rsidP="00F811B8" w:rsidRDefault="00F811B8" w14:paraId="20EB3AB3" w14:textId="7B379DAB">
                          <w:pPr>
                            <w:rPr>
                              <w:rFonts w:ascii="Aptos" w:hAnsi="Aptos" w:eastAsia="Aptos" w:cs="Aptos"/>
                              <w:noProof/>
                              <w:color w:val="000000"/>
                              <w:sz w:val="20"/>
                              <w:szCs w:val="20"/>
                            </w:rPr>
                          </w:pPr>
                          <w:r w:rsidRPr="00F811B8">
                            <w:rPr>
                              <w:rFonts w:ascii="Aptos" w:hAnsi="Aptos" w:eastAsia="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0A371C0B">
              <v:stroke joinstyle="miter"/>
              <v:path gradientshapeok="t" o:connecttype="rect"/>
            </v:shapetype>
            <v:shape id="Cuadro de texto 2" style="position:absolute;margin-left:0;margin-top:0;width:51pt;height:27.2pt;z-index:251659264;visibility:visible;mso-wrap-style:none;mso-wrap-distance-left:0;mso-wrap-distance-top:0;mso-wrap-distance-right:0;mso-wrap-distance-bottom:0;mso-position-horizontal:left;mso-position-horizontal-relative:page;mso-position-vertical:top;mso-position-vertical-relative:page;v-text-anchor:top" alt="Interno"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">
              <v:textbox style="mso-fit-shape-to-text:t" inset="20pt,15pt,0,0">
                <w:txbxContent>
                  <w:p w:rsidRPr="00F811B8" w:rsidR="00F811B8" w:rsidP="00F811B8" w:rsidRDefault="00F811B8" w14:paraId="20EB3AB3" w14:textId="7B379DAB">
                    <w:pPr>
                      <w:rPr>
                        <w:rFonts w:ascii="Aptos" w:hAnsi="Aptos" w:eastAsia="Aptos" w:cs="Aptos"/>
                        <w:noProof/>
                        <w:color w:val="000000"/>
                        <w:sz w:val="20"/>
                        <w:szCs w:val="20"/>
                      </w:rPr>
                    </w:pPr>
                    <w:r w:rsidRPr="00F811B8">
                      <w:rPr>
                        <w:rFonts w:ascii="Aptos" w:hAnsi="Aptos" w:eastAsia="Aptos" w:cs="Aptos"/>
                        <w:noProof/>
                        <w:color w:val="000000"/>
                        <w:sz w:val="20"/>
                        <w:szCs w:val="20"/>
                      </w:rPr>
                      <w:t>Interno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811B8" w:rsidRDefault="00F811B8" w14:paraId="2F8C40EE" w14:textId="04A635C3">
    <w:pPr>
      <w:pStyle w:val="Encabezado"/>
    </w:pPr>
    <w:r>
      <w:rPr>
        <w:noProof/>
      </w:rPr>
      <mc:AlternateContent>
        <mc:Choice Requires="wps">
          <w:drawing>
            <wp:anchor distT="0" distB="0" distL="0" distR="0" simplePos="0" relativeHeight="251660288" behindDoc="0" locked="0" layoutInCell="1" allowOverlap="1" wp14:anchorId="77692D63" wp14:editId="03D945D9">
              <wp:simplePos x="635" y="635"/>
              <wp:positionH relativeFrom="page">
                <wp:align>left</wp:align>
              </wp:positionH>
              <wp:positionV relativeFrom="page">
                <wp:align>top</wp:align>
              </wp:positionV>
              <wp:extent cx="647700" cy="345440"/>
              <wp:effectExtent l="0" t="0" r="0" b="16510"/>
              <wp:wrapNone/>
              <wp:docPr id="992062399" name="Cuadro de texto 3" descr="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rsidRPr="00F811B8" w:rsidR="00F811B8" w:rsidP="00F811B8" w:rsidRDefault="00F811B8" w14:paraId="7FB49641" w14:textId="4DF52616">
                          <w:pPr>
                            <w:rPr>
                              <w:rFonts w:ascii="Aptos" w:hAnsi="Aptos" w:eastAsia="Aptos" w:cs="Aptos"/>
                              <w:noProof/>
                              <w:color w:val="000000"/>
                              <w:sz w:val="20"/>
                              <w:szCs w:val="20"/>
                            </w:rPr>
                          </w:pPr>
                          <w:r w:rsidRPr="00F811B8">
                            <w:rPr>
                              <w:rFonts w:ascii="Aptos" w:hAnsi="Aptos" w:eastAsia="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77692D63">
              <v:stroke joinstyle="miter"/>
              <v:path gradientshapeok="t" o:connecttype="rect"/>
            </v:shapetype>
            <v:shape id="Cuadro de texto 3" style="position:absolute;margin-left:0;margin-top:0;width:51pt;height:27.2pt;z-index:251660288;visibility:visible;mso-wrap-style:none;mso-wrap-distance-left:0;mso-wrap-distance-top:0;mso-wrap-distance-right:0;mso-wrap-distance-bottom:0;mso-position-horizontal:left;mso-position-horizontal-relative:page;mso-position-vertical:top;mso-position-vertical-relative:page;v-text-anchor:top" alt="Interno"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">
              <v:textbox style="mso-fit-shape-to-text:t" inset="20pt,15pt,0,0">
                <w:txbxContent>
                  <w:p w:rsidRPr="00F811B8" w:rsidR="00F811B8" w:rsidP="00F811B8" w:rsidRDefault="00F811B8" w14:paraId="7FB49641" w14:textId="4DF52616">
                    <w:pPr>
                      <w:rPr>
                        <w:rFonts w:ascii="Aptos" w:hAnsi="Aptos" w:eastAsia="Aptos" w:cs="Aptos"/>
                        <w:noProof/>
                        <w:color w:val="000000"/>
                        <w:sz w:val="20"/>
                        <w:szCs w:val="20"/>
                      </w:rPr>
                    </w:pPr>
                    <w:r w:rsidRPr="00F811B8">
                      <w:rPr>
                        <w:rFonts w:ascii="Aptos" w:hAnsi="Aptos" w:eastAsia="Aptos" w:cs="Aptos"/>
                        <w:noProof/>
                        <w:color w:val="000000"/>
                        <w:sz w:val="20"/>
                        <w:szCs w:val="20"/>
                      </w:rPr>
                      <w:t>Interno</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811B8" w:rsidRDefault="00F811B8" w14:paraId="5EB9FEEB" w14:textId="59E4D20D">
    <w:pPr>
      <w:pStyle w:val="Encabezado"/>
    </w:pPr>
    <w:r>
      <w:rPr>
        <w:noProof/>
      </w:rPr>
      <mc:AlternateContent>
        <mc:Choice Requires="wps">
          <w:drawing>
            <wp:anchor distT="0" distB="0" distL="0" distR="0" simplePos="0" relativeHeight="251658240" behindDoc="0" locked="0" layoutInCell="1" allowOverlap="1" wp14:anchorId="3A5B2326" wp14:editId="519CA4EE">
              <wp:simplePos x="635" y="635"/>
              <wp:positionH relativeFrom="page">
                <wp:align>left</wp:align>
              </wp:positionH>
              <wp:positionV relativeFrom="page">
                <wp:align>top</wp:align>
              </wp:positionV>
              <wp:extent cx="647700" cy="345440"/>
              <wp:effectExtent l="0" t="0" r="0" b="16510"/>
              <wp:wrapNone/>
              <wp:docPr id="828169104" name="Cuadro de texto 1" descr="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rsidRPr="00F811B8" w:rsidR="00F811B8" w:rsidP="00F811B8" w:rsidRDefault="00F811B8" w14:paraId="2659CE7B" w14:textId="5E530040">
                          <w:pPr>
                            <w:rPr>
                              <w:rFonts w:ascii="Aptos" w:hAnsi="Aptos" w:eastAsia="Aptos" w:cs="Aptos"/>
                              <w:noProof/>
                              <w:color w:val="000000"/>
                              <w:sz w:val="20"/>
                              <w:szCs w:val="20"/>
                            </w:rPr>
                          </w:pPr>
                          <w:r w:rsidRPr="00F811B8">
                            <w:rPr>
                              <w:rFonts w:ascii="Aptos" w:hAnsi="Aptos" w:eastAsia="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3A5B2326">
              <v:stroke joinstyle="miter"/>
              <v:path gradientshapeok="t" o:connecttype="rect"/>
            </v:shapetype>
            <v:shape id="Cuadro de texto 1" style="position:absolute;margin-left:0;margin-top:0;width:51pt;height:27.2pt;z-index:251658240;visibility:visible;mso-wrap-style:none;mso-wrap-distance-left:0;mso-wrap-distance-top:0;mso-wrap-distance-right:0;mso-wrap-distance-bottom:0;mso-position-horizontal:left;mso-position-horizontal-relative:page;mso-position-vertical:top;mso-position-vertical-relative:page;v-text-anchor:top" alt="Interno"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">
              <v:textbox style="mso-fit-shape-to-text:t" inset="20pt,15pt,0,0">
                <w:txbxContent>
                  <w:p w:rsidRPr="00F811B8" w:rsidR="00F811B8" w:rsidP="00F811B8" w:rsidRDefault="00F811B8" w14:paraId="2659CE7B" w14:textId="5E530040">
                    <w:pPr>
                      <w:rPr>
                        <w:rFonts w:ascii="Aptos" w:hAnsi="Aptos" w:eastAsia="Aptos" w:cs="Aptos"/>
                        <w:noProof/>
                        <w:color w:val="000000"/>
                        <w:sz w:val="20"/>
                        <w:szCs w:val="20"/>
                      </w:rPr>
                    </w:pPr>
                    <w:r w:rsidRPr="00F811B8">
                      <w:rPr>
                        <w:rFonts w:ascii="Aptos" w:hAnsi="Aptos" w:eastAsia="Aptos" w:cs="Aptos"/>
                        <w:noProof/>
                        <w:color w:val="000000"/>
                        <w:sz w:val="20"/>
                        <w:szCs w:val="20"/>
                      </w:rPr>
                      <w:t>Interno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4292F"/>
    <w:multiLevelType w:val="hybridMultilevel"/>
    <w:tmpl w:val="F25C4008"/>
    <w:lvl w:ilvl="0" w:tplc="CA546B62">
      <w:start w:val="1"/>
      <w:numFmt w:val="bullet"/>
      <w:lvlText w:val="●"/>
      <w:lvlJc w:val="left"/>
      <w:pPr>
        <w:ind w:left="720" w:hanging="360"/>
      </w:pPr>
    </w:lvl>
    <w:lvl w:ilvl="1" w:tplc="07E433A4">
      <w:start w:val="1"/>
      <w:numFmt w:val="bullet"/>
      <w:lvlText w:val="○"/>
      <w:lvlJc w:val="left"/>
      <w:pPr>
        <w:ind w:left="1440" w:hanging="360"/>
      </w:pPr>
    </w:lvl>
    <w:lvl w:ilvl="2" w:tplc="ABF680FA">
      <w:start w:val="1"/>
      <w:numFmt w:val="bullet"/>
      <w:lvlText w:val="■"/>
      <w:lvlJc w:val="left"/>
      <w:pPr>
        <w:ind w:left="2160" w:hanging="360"/>
      </w:pPr>
    </w:lvl>
    <w:lvl w:ilvl="3" w:tplc="6BA29956">
      <w:start w:val="1"/>
      <w:numFmt w:val="bullet"/>
      <w:lvlText w:val="●"/>
      <w:lvlJc w:val="left"/>
      <w:pPr>
        <w:ind w:left="2880" w:hanging="360"/>
      </w:pPr>
    </w:lvl>
    <w:lvl w:ilvl="4" w:tplc="F4BA40A2">
      <w:start w:val="1"/>
      <w:numFmt w:val="bullet"/>
      <w:lvlText w:val="○"/>
      <w:lvlJc w:val="left"/>
      <w:pPr>
        <w:ind w:left="3600" w:hanging="360"/>
      </w:pPr>
    </w:lvl>
    <w:lvl w:ilvl="5" w:tplc="103074AC">
      <w:start w:val="1"/>
      <w:numFmt w:val="bullet"/>
      <w:lvlText w:val="■"/>
      <w:lvlJc w:val="left"/>
      <w:pPr>
        <w:ind w:left="4320" w:hanging="360"/>
      </w:pPr>
    </w:lvl>
    <w:lvl w:ilvl="6" w:tplc="6C08FB7A">
      <w:start w:val="1"/>
      <w:numFmt w:val="bullet"/>
      <w:lvlText w:val="●"/>
      <w:lvlJc w:val="left"/>
      <w:pPr>
        <w:ind w:left="5040" w:hanging="360"/>
      </w:pPr>
    </w:lvl>
    <w:lvl w:ilvl="7" w:tplc="4562307C">
      <w:start w:val="1"/>
      <w:numFmt w:val="bullet"/>
      <w:lvlText w:val="●"/>
      <w:lvlJc w:val="left"/>
      <w:pPr>
        <w:ind w:left="5760" w:hanging="360"/>
      </w:pPr>
    </w:lvl>
    <w:lvl w:ilvl="8" w:tplc="8634F8DE">
      <w:start w:val="1"/>
      <w:numFmt w:val="bullet"/>
      <w:lvlText w:val="●"/>
      <w:lvlJc w:val="left"/>
      <w:pPr>
        <w:ind w:left="6480" w:hanging="360"/>
      </w:pPr>
    </w:lvl>
  </w:abstractNum>
  <w:num w:numId="1" w16cid:durableId="19840415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CBF"/>
    <w:rsid w:val="003022FA"/>
    <w:rsid w:val="0032334D"/>
    <w:rsid w:val="004A4F53"/>
    <w:rsid w:val="00516BBF"/>
    <w:rsid w:val="005A5778"/>
    <w:rsid w:val="005D0D72"/>
    <w:rsid w:val="006969E7"/>
    <w:rsid w:val="007118DE"/>
    <w:rsid w:val="00797D44"/>
    <w:rsid w:val="00866233"/>
    <w:rsid w:val="009B532B"/>
    <w:rsid w:val="009F7CBF"/>
    <w:rsid w:val="00AF22FE"/>
    <w:rsid w:val="00C121C5"/>
    <w:rsid w:val="00ED3709"/>
    <w:rsid w:val="00EE4751"/>
    <w:rsid w:val="00F811B8"/>
    <w:rsid w:val="00F9697D"/>
    <w:rsid w:val="4626AC81"/>
    <w:rsid w:val="766227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C166D"/>
  <w15:docId w15:val="{CCA6F5C7-822F-4759-9C29-31CE0353B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hAnsi="Georgia" w:eastAsia="Georgia" w:cs="Georgia"/>
        <w:color w:val="2C2C2A"/>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811B8"/>
    <w:pPr>
      <w:tabs>
        <w:tab w:val="center" w:pos="4252"/>
        <w:tab w:val="right" w:pos="8504"/>
      </w:tabs>
    </w:pPr>
  </w:style>
  <w:style w:type="character" w:styleId="EncabezadoCar" w:customStyle="1">
    <w:name w:val="Encabezado Car"/>
    <w:basedOn w:val="Fuentedeprrafopredeter"/>
    <w:link w:val="Encabezado"/>
    <w:uiPriority w:val="99"/>
    <w:rsid w:val="00F811B8"/>
  </w:style>
  <w:style w:type="paragraph" w:styleId="Piedepgina">
    <w:name w:val="footer"/>
    <w:basedOn w:val="Normal"/>
    <w:link w:val="PiedepginaCar"/>
    <w:uiPriority w:val="99"/>
    <w:unhideWhenUsed/>
    <w:rsid w:val="00F811B8"/>
    <w:pPr>
      <w:tabs>
        <w:tab w:val="center" w:pos="4252"/>
        <w:tab w:val="right" w:pos="8504"/>
      </w:tabs>
    </w:pPr>
  </w:style>
  <w:style w:type="character" w:styleId="PiedepginaCar" w:customStyle="1">
    <w:name w:val="Pie de página Car"/>
    <w:basedOn w:val="Fuentedeprrafopredeter"/>
    <w:link w:val="Piedepgina"/>
    <w:uiPriority w:val="99"/>
    <w:rsid w:val="00F811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8BB309973A6DE44A1BFE5432371160D" ma:contentTypeVersion="10" ma:contentTypeDescription="Crear nuevo documento." ma:contentTypeScope="" ma:versionID="b0825f9c35a7c3854605de53a3c7ae9f">
  <xsd:schema xmlns:xsd="http://www.w3.org/2001/XMLSchema" xmlns:xs="http://www.w3.org/2001/XMLSchema" xmlns:p="http://schemas.microsoft.com/office/2006/metadata/properties" xmlns:ns2="04193494-f6b7-4b38-ba18-ede97f73ccfd" targetNamespace="http://schemas.microsoft.com/office/2006/metadata/properties" ma:root="true" ma:fieldsID="3035e4646904acacf692b0a8489d90cc" ns2:_="">
    <xsd:import namespace="04193494-f6b7-4b38-ba18-ede97f73cc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193494-f6b7-4b38-ba18-ede97f73c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c93ba224-6a42-47cf-994a-bd0f2c22a18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193494-f6b7-4b38-ba18-ede97f73cc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C688106-2E9B-4E06-89DE-CC5858F1A82B}"/>
</file>

<file path=customXml/itemProps2.xml><?xml version="1.0" encoding="utf-8"?>
<ds:datastoreItem xmlns:ds="http://schemas.openxmlformats.org/officeDocument/2006/customXml" ds:itemID="{CB1F204D-BA9A-431E-B359-19C1B63DCE70}"/>
</file>

<file path=customXml/itemProps3.xml><?xml version="1.0" encoding="utf-8"?>
<ds:datastoreItem xmlns:ds="http://schemas.openxmlformats.org/officeDocument/2006/customXml" ds:itemID="{2D9A9AA3-7093-4300-A18E-F25E8D3A95B5}"/>
</file>

<file path=docMetadata/LabelInfo.xml><?xml version="1.0" encoding="utf-8"?>
<clbl:labelList xmlns:clbl="http://schemas.microsoft.com/office/2020/mipLabelMetadata">
  <clbl:label id="{83661b87-7810-4813-8bd9-dd2ee6a65052}" enabled="1" method="Standard" siteId="{223943b3-0f38-442c-90e3-00f9c3b6b43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PABLO GONZALEZ-SCHWITTERS GRIMALDO</cp:lastModifiedBy>
  <cp:revision>15</cp:revision>
  <dcterms:created xsi:type="dcterms:W3CDTF">2026-05-29T06:58:00Z</dcterms:created>
  <dcterms:modified xsi:type="dcterms:W3CDTF">2026-06-09T17:10:57Z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315cdb90,734b3e2e,3b21abbf</vt:lpwstr>
  </property>
  <property fmtid="{D5CDD505-2E9C-101B-9397-08002B2CF9AE}" pid="3" name="ClassificationContentMarkingHeaderFontProps">
    <vt:lpwstr>#000000,10,Aptos</vt:lpwstr>
  </property>
  <property fmtid="{D5CDD505-2E9C-101B-9397-08002B2CF9AE}" pid="4" name="ClassificationContentMarkingHeaderText">
    <vt:lpwstr>Interno</vt:lpwstr>
  </property>
  <property fmtid="{D5CDD505-2E9C-101B-9397-08002B2CF9AE}" pid="5" name="ClassificationContentMarkingFooterShapeIds">
    <vt:lpwstr>a5161b7,1dfce24a,3f7c67fa</vt:lpwstr>
  </property>
  <property fmtid="{D5CDD505-2E9C-101B-9397-08002B2CF9AE}" pid="6" name="ClassificationContentMarkingFooterFontProps">
    <vt:lpwstr>#000000,8,Aptos</vt:lpwstr>
  </property>
  <property fmtid="{D5CDD505-2E9C-101B-9397-08002B2CF9AE}" pid="7" name="ClassificationContentMarkingFooterText">
    <vt:lpwstr>Uso Interno - No compartir fuera de la organización.</vt:lpwstr>
  </property>
  <property fmtid="{D5CDD505-2E9C-101B-9397-08002B2CF9AE}" pid="8" name="ContentTypeId">
    <vt:lpwstr>0x010100C8BB309973A6DE44A1BFE5432371160D</vt:lpwstr>
  </property>
</Properties>
</file>