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ED825" w14:textId="77777777" w:rsidR="00A02288" w:rsidRPr="00A02288" w:rsidRDefault="00A02288" w:rsidP="00A02288">
      <w:pPr>
        <w:pStyle w:val="Ttulo1"/>
        <w:rPr>
          <w:lang w:val="es-ES"/>
        </w:rPr>
      </w:pPr>
      <w:r w:rsidRPr="00A02288">
        <w:rPr>
          <w:lang w:val="es-ES"/>
        </w:rPr>
        <w:t>Análisis de la Selección de un Nuevo Sistema de Recursos Humanos</w:t>
      </w:r>
    </w:p>
    <w:p w14:paraId="6E86E944" w14:textId="77777777" w:rsidR="00A02288" w:rsidRPr="00A02288" w:rsidRDefault="00A02288" w:rsidP="00A02288">
      <w:pPr>
        <w:pStyle w:val="Ttulo2"/>
        <w:rPr>
          <w:lang w:val="es-ES"/>
        </w:rPr>
      </w:pPr>
      <w:r w:rsidRPr="00A02288">
        <w:rPr>
          <w:lang w:val="es-ES"/>
        </w:rPr>
        <w:t>Plataforma Unificada vs. Sistemas Separados</w:t>
      </w:r>
    </w:p>
    <w:p w14:paraId="48AFD023" w14:textId="77777777" w:rsidR="00A02288" w:rsidRPr="00A02288" w:rsidRDefault="00A02288" w:rsidP="00A02288">
      <w:pPr>
        <w:pStyle w:val="Ttulo3"/>
        <w:rPr>
          <w:lang w:val="es-ES"/>
        </w:rPr>
      </w:pPr>
      <w:r w:rsidRPr="00A02288">
        <w:rPr>
          <w:lang w:val="es-ES"/>
        </w:rPr>
        <w:t>I. Introducción: Estableciendo el Contexto para la Selección del Sistema de Recursos Humanos</w:t>
      </w:r>
    </w:p>
    <w:p w14:paraId="1BD0A110" w14:textId="77777777" w:rsidR="00A02288" w:rsidRPr="00A02288" w:rsidRDefault="00A02288" w:rsidP="00A02288">
      <w:pPr>
        <w:rPr>
          <w:lang w:val="es-ES"/>
        </w:rPr>
      </w:pPr>
      <w:r w:rsidRPr="00A02288">
        <w:rPr>
          <w:lang w:val="es-ES"/>
        </w:rPr>
        <w:t>En el entorno empresarial actual, la tecnología de recursos humanos (RRHH) desempeña un papel fundamental en la optimización de la eficiencia del departamento, la mejora de la experiencia del empleado y el apoyo a los objetivos estratégicos de la organización. Un sistema de RRHH robusto y bien elegido puede transformar la manera en que una empresa gestiona su activo más valioso: su personal. Sin embargo, la selección de la solución tecnológica adecuada puede ser un proceso complejo, especialmente cuando existen diferentes perspectivas dentro del departamento de RRHH. Este informe aborda un dilema específico que enfrenta su departamento de RRHH: la elección entre una plataforma global unificada y sistemas separados para la gestión del talento y la formación. El propósito de este análisis es examinar los argumentos a favor de ambos enfoques, evaluar los riesgos y beneficios asociados, presentar estudios de caso relevantes y ofrecer estrategias para tomar una decisión informada y obtener el respaldo de la dirección.</w:t>
      </w:r>
    </w:p>
    <w:p w14:paraId="2DBFAE31" w14:textId="77777777" w:rsidR="00A02288" w:rsidRPr="00A02288" w:rsidRDefault="00A02288" w:rsidP="00A02288">
      <w:pPr>
        <w:pStyle w:val="Ttulo3"/>
        <w:rPr>
          <w:lang w:val="es-ES"/>
        </w:rPr>
      </w:pPr>
      <w:r w:rsidRPr="00A02288">
        <w:rPr>
          <w:lang w:val="es-ES"/>
        </w:rPr>
        <w:t>II. Comprendiendo la División Interna: Argumentos a Favor de Sistemas Unificados vs. Separados</w:t>
      </w:r>
    </w:p>
    <w:p w14:paraId="2D8A5D4D" w14:textId="77777777" w:rsidR="00A02288" w:rsidRPr="00A02288" w:rsidRDefault="00A02288" w:rsidP="00A02288">
      <w:pPr>
        <w:pStyle w:val="Ttulo4"/>
        <w:rPr>
          <w:lang w:val="es-ES"/>
        </w:rPr>
      </w:pPr>
      <w:r w:rsidRPr="00A02288">
        <w:rPr>
          <w:lang w:val="es-ES"/>
        </w:rPr>
        <w:t>A. El Argumento a Favor de una Plataforma Global Unificada</w:t>
      </w:r>
    </w:p>
    <w:p w14:paraId="302A2219" w14:textId="77777777" w:rsidR="00A02288" w:rsidRPr="00A02288" w:rsidRDefault="00A02288" w:rsidP="00A02288">
      <w:pPr>
        <w:rPr>
          <w:lang w:val="es-ES"/>
        </w:rPr>
      </w:pPr>
      <w:r w:rsidRPr="00A02288">
        <w:rPr>
          <w:lang w:val="es-ES"/>
        </w:rPr>
        <w:t>Una plataforma global unificada se define como un sistema único que gestiona todas las funciones de RRHH, incluyendo las operaciones centrales de RRHH, la gestión del talento (adquisición, desempeño, sucesión, compensación) y la formación, a nivel mundial. Los defensores de este enfoque argumentan que proporciona una visión holística de los datos de los empleados en todas las funciones de RRHH. Esta perspectiva integrada permite una comprensión más profunda de la fuerza laboral y facilita la toma de decisiones estratégicas. La implementación de una plataforma unificada puede ser impulsada por la necesidad de estandarizar los procesos de RRHH a nivel global, mejorar la precisión de los datos y reducir las redundancias. Además, una plataforma única podría ofrecer una experiencia de empleado más coherente y simplificada, al proporcionar un punto de acceso centralizado para todas las necesidades relacionadas con los RRHH. Los proponentes de esta solución también pueden destacar el potencial de ahorro de costes a largo plazo a través de la consolidación de proveedores y la simplificación de la infraestructura de TI.</w:t>
      </w:r>
    </w:p>
    <w:p w14:paraId="5B6AEBBA" w14:textId="77777777" w:rsidR="00A02288" w:rsidRPr="00A02288" w:rsidRDefault="00A02288" w:rsidP="00A02288">
      <w:pPr>
        <w:pStyle w:val="Ttulo4"/>
        <w:rPr>
          <w:lang w:val="es-ES"/>
        </w:rPr>
      </w:pPr>
      <w:r w:rsidRPr="00A02288">
        <w:rPr>
          <w:lang w:val="es-ES"/>
        </w:rPr>
        <w:t>B. El Argumento a Favor de Sistemas Separados para Talento y Formación</w:t>
      </w:r>
    </w:p>
    <w:p w14:paraId="2FE225D3" w14:textId="77777777" w:rsidR="00A02288" w:rsidRPr="00A02288" w:rsidRDefault="00A02288" w:rsidP="00A02288">
      <w:pPr>
        <w:rPr>
          <w:lang w:val="es-ES"/>
        </w:rPr>
      </w:pPr>
      <w:r w:rsidRPr="00A02288">
        <w:rPr>
          <w:lang w:val="es-ES"/>
        </w:rPr>
        <w:t xml:space="preserve">La preferencia por sistemas separados para la gestión del talento y la formación a menudo se basa en la creencia de que las soluciones especializadas pueden ofrecer funcionalidades superiores y una mayor innovación en estas áreas críticas. Los partidarios de este enfoque argumentan que los proveedores de software que se centran específicamente en la gestión del talento o en el aprendizaje y desarrollo pueden invertir más recursos en la investigación y el desarrollo de características avanzadas y adaptadas a las necesidades únicas de estas funciones. Por ejemplo, un sistema de gestión del talento especializado podría ofrecer capacidades de reclutamiento impulsadas por inteligencia artificial o herramientas de evaluación del desempeño más sofisticadas que </w:t>
      </w:r>
      <w:r w:rsidRPr="00A02288">
        <w:rPr>
          <w:lang w:val="es-ES"/>
        </w:rPr>
        <w:lastRenderedPageBreak/>
        <w:t>las que se encuentran en una plataforma unificada más amplia. Del mismo modo, un sistema de gestión del aprendizaje dedicado podría proporcionar funcionalidades avanzadas para la creación y entrega de contenido formativo, así como herramientas de seguimiento y análisis del progreso del aprendizaje más detalladas. Esta perspectiva sugiere que la adopción de sistemas separados permitiría a la organización acceder a las mejores herramientas disponibles para cada función específica, lo que podría resultar en una mayor eficacia y un mejor retorno de la inversión en áreas clave como la adquisición y el desarrollo del talento.</w:t>
      </w:r>
    </w:p>
    <w:p w14:paraId="11D1CEAC" w14:textId="77777777" w:rsidR="00A02288" w:rsidRPr="00A02288" w:rsidRDefault="00A02288" w:rsidP="00A02288">
      <w:pPr>
        <w:pStyle w:val="Ttulo3"/>
        <w:rPr>
          <w:lang w:val="es-ES"/>
        </w:rPr>
      </w:pPr>
      <w:r w:rsidRPr="00A02288">
        <w:rPr>
          <w:lang w:val="es-ES"/>
        </w:rPr>
        <w:t>III. Las Ventajas Estratégicas de una Plataforma Global Unificada</w:t>
      </w:r>
    </w:p>
    <w:p w14:paraId="38F246BF" w14:textId="77777777" w:rsidR="00A02288" w:rsidRPr="00A02288" w:rsidRDefault="00A02288" w:rsidP="00A02288">
      <w:pPr>
        <w:pStyle w:val="Ttulo4"/>
        <w:rPr>
          <w:lang w:val="es-ES"/>
        </w:rPr>
      </w:pPr>
      <w:r w:rsidRPr="00A02288">
        <w:rPr>
          <w:lang w:val="es-ES"/>
        </w:rPr>
        <w:t>A. Gestión y Consistencia de Datos Mejoradas</w:t>
      </w:r>
    </w:p>
    <w:p w14:paraId="4190D1F2" w14:textId="77777777" w:rsidR="00A02288" w:rsidRPr="00A02288" w:rsidRDefault="00A02288" w:rsidP="00A02288">
      <w:pPr>
        <w:rPr>
          <w:lang w:val="es-ES"/>
        </w:rPr>
      </w:pPr>
      <w:r w:rsidRPr="00A02288">
        <w:rPr>
          <w:lang w:val="es-ES"/>
        </w:rPr>
        <w:t>Una plataforma unificada centraliza todos los datos de los empleados en un único sistema, lo que garantiza una única fuente de verdad. Esta centralización elimina la necesidad de introducir datos repetidamente en diferentes sistemas, lo que reduce significativamente el riesgo de errores e inconsistencias. Al tener todos los datos de RRHH en un solo lugar, la organización puede obtener una visión más precisa y completa de su fuerza laboral, lo que facilita la generación de informes exhaustivos y la toma de decisiones más informadas en todas las funciones de RRHH. La consistencia de los datos también es crucial para garantizar el cumplimiento normativo a nivel global, ya que una plataforma unificada puede aplicar políticas y reglas de manera uniforme en toda la organización.</w:t>
      </w:r>
    </w:p>
    <w:p w14:paraId="6BD31278" w14:textId="77777777" w:rsidR="00A02288" w:rsidRPr="00A02288" w:rsidRDefault="00A02288" w:rsidP="00A02288">
      <w:pPr>
        <w:rPr>
          <w:lang w:val="es-ES"/>
        </w:rPr>
      </w:pPr>
      <w:r w:rsidRPr="00A02288">
        <w:rPr>
          <w:lang w:val="es-ES"/>
        </w:rPr>
        <w:t>La existencia de una única fuente de verdad conlleva múltiples beneficios. En primer lugar, mejora la precisión de los registros de los empleados, ya que los cambios realizados en un área del sistema se reflejan automáticamente en todas las demás áreas relevantes. En segundo lugar, se elimina la necesidad de la entrada manual de datos en múltiples sistemas, lo que ahorra tiempo y reduce la posibilidad de errores humanos. En tercer lugar, se facilita la generación de informes integrados que combinan datos de diferentes funciones de RRHH, lo que proporciona una visión más holística de la fuerza laboral. En cuarto lugar, se fortalece la seguridad de los datos al consolidar la información sensible en un único sistema con controles de acceso definidos. Por último, una plataforma unificada puede facilitar la gestión de procesos de RRHH a nivel global y garantizar el cumplimiento de las normativas locales en diferentes jurisdicciones.</w:t>
      </w:r>
    </w:p>
    <w:p w14:paraId="1B787278" w14:textId="77777777" w:rsidR="00A02288" w:rsidRPr="00A02288" w:rsidRDefault="00A02288" w:rsidP="00A02288">
      <w:pPr>
        <w:pStyle w:val="Ttulo4"/>
        <w:rPr>
          <w:lang w:val="es-ES"/>
        </w:rPr>
      </w:pPr>
      <w:r w:rsidRPr="00A02288">
        <w:rPr>
          <w:lang w:val="es-ES"/>
        </w:rPr>
        <w:t>B. Procesos y Flujos de Trabajo Simplificados</w:t>
      </w:r>
    </w:p>
    <w:p w14:paraId="76CC1638" w14:textId="77777777" w:rsidR="00A02288" w:rsidRPr="00A02288" w:rsidRDefault="00A02288" w:rsidP="00A02288">
      <w:pPr>
        <w:rPr>
          <w:lang w:val="es-ES"/>
        </w:rPr>
      </w:pPr>
      <w:r w:rsidRPr="00A02288">
        <w:rPr>
          <w:lang w:val="es-ES"/>
        </w:rPr>
        <w:t>La integración de todas las funciones de RRHH en una única plataforma permite la automatización de flujos de trabajo y la mejora de la eficiencia. Por ejemplo, el proceso de incorporación de nuevos empleados puede automatizarse para que los datos fluyan sin problemas desde la contratación hasta la nómina y la formación. Del mismo modo, los ciclos de gestión del desempeño, las solicitudes de permisos y las asignaciones de formación pueden gestionarse de manera más eficiente a través de flujos de trabajo integrados. Esta automatización reduce la necesidad de intervenciones manuales y elimina las redundancias entre diferentes sistemas, lo que libera tiempo para que el personal de RRHH se centre en tareas más estratégicas.</w:t>
      </w:r>
    </w:p>
    <w:p w14:paraId="0E7D5E21" w14:textId="77777777" w:rsidR="00A02288" w:rsidRPr="00A02288" w:rsidRDefault="00A02288" w:rsidP="00A02288">
      <w:pPr>
        <w:rPr>
          <w:lang w:val="es-ES"/>
        </w:rPr>
      </w:pPr>
      <w:r w:rsidRPr="00A02288">
        <w:rPr>
          <w:lang w:val="es-ES"/>
        </w:rPr>
        <w:t>La simplificación de los procesos y flujos de trabajo se traduce en una mayor eficiencia operativa. La automatización de tareas rutinarias, como la gestión de solicitudes de permisos o la administración de beneficios, reduce la carga administrativa del personal de RRHH. Los flujos de trabajo integrados eliminan los cuellos de botella y agilizan la ejecución de los procesos, lo que permite una respuesta más rápida a las necesidades de los empleados y de la organización. Además, la visibilidad mejorada de los procesos en una plataforma unificada facilita la identificación de áreas de mejora y la optimización de los flujos de trabajo existentes.</w:t>
      </w:r>
    </w:p>
    <w:p w14:paraId="7A90CE28" w14:textId="77777777" w:rsidR="00A02288" w:rsidRPr="00A02288" w:rsidRDefault="00A02288" w:rsidP="00A02288">
      <w:pPr>
        <w:pStyle w:val="Ttulo4"/>
        <w:rPr>
          <w:lang w:val="es-ES"/>
        </w:rPr>
      </w:pPr>
      <w:r w:rsidRPr="00A02288">
        <w:rPr>
          <w:lang w:val="es-ES"/>
        </w:rPr>
        <w:lastRenderedPageBreak/>
        <w:t>C. Experiencia del Empleado Mejorada</w:t>
      </w:r>
    </w:p>
    <w:p w14:paraId="2041E140" w14:textId="77777777" w:rsidR="00A02288" w:rsidRPr="00A02288" w:rsidRDefault="00A02288" w:rsidP="00A02288">
      <w:pPr>
        <w:rPr>
          <w:lang w:val="es-ES"/>
        </w:rPr>
      </w:pPr>
      <w:r w:rsidRPr="00A02288">
        <w:rPr>
          <w:lang w:val="es-ES"/>
        </w:rPr>
        <w:t>Una plataforma unificada puede proporcionar una experiencia más fluida y fácil de usar para los empleados, ya que ofrece un punto de acceso único para todas sus necesidades de RRHH. Los empleados pueden acceder a su información personal, consultar sus nóminas, solicitar permisos, inscribirse en cursos de formación y gestionar sus beneficios a través de una interfaz intuitiva y consistente. La capacidad de autoservicio que ofrece una plataforma unificada empodera a los empleados y reduce la necesidad de contactar al departamento de RRHH para tareas rutinarias, lo que mejora su satisfacción y compromiso. Además, una experiencia de empleado positiva puede contribuir a aumentar la productividad y la retención del talento.</w:t>
      </w:r>
    </w:p>
    <w:p w14:paraId="1A6B0C86" w14:textId="77777777" w:rsidR="00A02288" w:rsidRPr="00A02288" w:rsidRDefault="00A02288" w:rsidP="00A02288">
      <w:pPr>
        <w:rPr>
          <w:lang w:val="es-ES"/>
        </w:rPr>
      </w:pPr>
      <w:r w:rsidRPr="00A02288">
        <w:rPr>
          <w:lang w:val="es-ES"/>
        </w:rPr>
        <w:t>La mejora de la experiencia del empleado es un objetivo cada vez más importante para las organizaciones. Una plataforma unificada facilita el acceso a la información y a las herramientas de RRHH, lo que reduce la frustración y aumenta la satisfacción de los empleados. La capacidad de autoservicio permite a los empleados gestionar sus propias necesidades de RRHH de manera eficiente, lo que les ahorra tiempo y les da un mayor control sobre su información. Una interfaz de usuario consistente en todas las funciones de RRHH también contribuye a una experiencia más positiva y fácil de usar.</w:t>
      </w:r>
    </w:p>
    <w:p w14:paraId="17CC33F8" w14:textId="77777777" w:rsidR="00A02288" w:rsidRPr="00A02288" w:rsidRDefault="00A02288" w:rsidP="00A02288">
      <w:pPr>
        <w:pStyle w:val="Ttulo4"/>
        <w:rPr>
          <w:lang w:val="es-ES"/>
        </w:rPr>
      </w:pPr>
      <w:r w:rsidRPr="00A02288">
        <w:rPr>
          <w:lang w:val="es-ES"/>
        </w:rPr>
        <w:t>D. Informes y Análisis Mejorados</w:t>
      </w:r>
    </w:p>
    <w:p w14:paraId="0FF268EB" w14:textId="77777777" w:rsidR="00A02288" w:rsidRPr="00A02288" w:rsidRDefault="00A02288" w:rsidP="00A02288">
      <w:pPr>
        <w:rPr>
          <w:lang w:val="es-ES"/>
        </w:rPr>
      </w:pPr>
      <w:r w:rsidRPr="00A02288">
        <w:rPr>
          <w:lang w:val="es-ES"/>
        </w:rPr>
        <w:t>Con todos los datos de RRHH almacenados en una única base de datos, una plataforma unificada facilita la generación de informes completos y la obtención de información valiosa sobre la fuerza laboral. La capacidad de combinar datos de diferentes funciones de RRHH permite realizar análisis más profundos y obtener una visión más holística de las tendencias y el impacto de las iniciativas de RRHH. Esto puede ayudar a la organización a tomar decisiones más estratégicas y basadas en datos en áreas como la gestión del talento, la planificación de la fuerza laboral y la mejora del compromiso de los empleados.</w:t>
      </w:r>
    </w:p>
    <w:p w14:paraId="61AFBF35" w14:textId="77777777" w:rsidR="00A02288" w:rsidRPr="00A02288" w:rsidRDefault="00A02288" w:rsidP="00A02288">
      <w:pPr>
        <w:rPr>
          <w:lang w:val="es-ES"/>
        </w:rPr>
      </w:pPr>
      <w:r w:rsidRPr="00A02288">
        <w:rPr>
          <w:lang w:val="es-ES"/>
        </w:rPr>
        <w:t>La mejora de los informes y análisis proporciona a la organización una ventaja competitiva. La capacidad de generar informes personalizados y obtener información en tiempo real sobre métricas clave de RRHH permite a los líderes tomar decisiones más rápidas y fundamentadas. La visión integral de los datos de la fuerza laboral facilita la identificación de tendencias, la predicción de necesidades futuras y la evaluación del impacto de las políticas y programas de RRHH en el rendimiento general de la empresa.</w:t>
      </w:r>
    </w:p>
    <w:p w14:paraId="2E474B2B" w14:textId="77777777" w:rsidR="00A02288" w:rsidRPr="00A02288" w:rsidRDefault="00A02288" w:rsidP="00A02288">
      <w:pPr>
        <w:pStyle w:val="Ttulo4"/>
        <w:rPr>
          <w:lang w:val="es-ES"/>
        </w:rPr>
      </w:pPr>
      <w:r w:rsidRPr="00A02288">
        <w:rPr>
          <w:lang w:val="es-ES"/>
        </w:rPr>
        <w:t>E. Eficiencia en Costes y Complejidad de TI Reducida</w:t>
      </w:r>
    </w:p>
    <w:p w14:paraId="001B6E37" w14:textId="77777777" w:rsidR="00A02288" w:rsidRPr="00A02288" w:rsidRDefault="00A02288" w:rsidP="00A02288">
      <w:pPr>
        <w:rPr>
          <w:lang w:val="es-ES"/>
        </w:rPr>
      </w:pPr>
      <w:r w:rsidRPr="00A02288">
        <w:rPr>
          <w:lang w:val="es-ES"/>
        </w:rPr>
        <w:t>La consolidación de múltiples sistemas de RRHH en una única plataforma puede generar ahorros significativos en costes, incluyendo la reducción de las tarifas de licencia de software, los gastos de soporte de TI y la complejidad de gestionar múltiples proveedores. Una plataforma unificada también puede simplificar la infraestructura de TI y reducir la necesidad de integraciones personalizadas entre diferentes sistemas, lo que a su vez disminuye los costes y la carga de trabajo del departamento de TI. Además, algunos proveedores de plataformas unificadas ofrecen modelos de precios más predecibles y escalables, lo que puede facilitar la planificación presupuestaria a largo plazo.</w:t>
      </w:r>
    </w:p>
    <w:p w14:paraId="375FF34C" w14:textId="77777777" w:rsidR="00A02288" w:rsidRPr="00A02288" w:rsidRDefault="00A02288" w:rsidP="00A02288">
      <w:pPr>
        <w:rPr>
          <w:lang w:val="es-ES"/>
        </w:rPr>
      </w:pPr>
      <w:r w:rsidRPr="00A02288">
        <w:rPr>
          <w:lang w:val="es-ES"/>
        </w:rPr>
        <w:t>La eficiencia en costes y la reducción de la complejidad de TI son beneficios clave para la dirección. La consolidación de sistemas puede llevar a una disminución de los gastos en licencias de software y en la infraestructura de TI necesaria para soportar múltiples aplicaciones. La simplificación de la arquitectura tecnológica también puede reducir la carga de trabajo del departamento de TI, permitiéndole centrarse en otras iniciativas estratégicas.</w:t>
      </w:r>
    </w:p>
    <w:p w14:paraId="770570BE" w14:textId="77777777" w:rsidR="00A02288" w:rsidRPr="00A02288" w:rsidRDefault="00A02288" w:rsidP="00A02288">
      <w:pPr>
        <w:pStyle w:val="Ttulo3"/>
        <w:rPr>
          <w:lang w:val="es-ES"/>
        </w:rPr>
      </w:pPr>
      <w:r w:rsidRPr="00A02288">
        <w:rPr>
          <w:lang w:val="es-ES"/>
        </w:rPr>
        <w:lastRenderedPageBreak/>
        <w:t>IV. Examinando los Posibles Beneficios de Sistemas Separados para Talento y Formación</w:t>
      </w:r>
    </w:p>
    <w:p w14:paraId="26C311DA" w14:textId="77777777" w:rsidR="00A02288" w:rsidRPr="00A02288" w:rsidRDefault="00A02288" w:rsidP="00A02288">
      <w:pPr>
        <w:pStyle w:val="Ttulo4"/>
        <w:rPr>
          <w:lang w:val="es-ES"/>
        </w:rPr>
      </w:pPr>
      <w:r w:rsidRPr="00A02288">
        <w:rPr>
          <w:lang w:val="es-ES"/>
        </w:rPr>
        <w:t>A. Acceso a la Mejor Funcionalidad Especializada</w:t>
      </w:r>
    </w:p>
    <w:p w14:paraId="2490902B" w14:textId="77777777" w:rsidR="00A02288" w:rsidRPr="00A02288" w:rsidRDefault="00A02288" w:rsidP="00A02288">
      <w:pPr>
        <w:rPr>
          <w:lang w:val="es-ES"/>
        </w:rPr>
      </w:pPr>
      <w:r w:rsidRPr="00A02288">
        <w:rPr>
          <w:lang w:val="es-ES"/>
        </w:rPr>
        <w:t>Como se mencionó anteriormente, la principal ventaja de los sistemas separados para la gestión del talento y la formación es el potencial de acceder a soluciones especializadas que sobresalen en sus áreas específicas. Los proveedores que se centran exclusivamente en la gestión del talento pueden ofrecer módulos más avanzados para la adquisición, el desarrollo, la gestión del desempeño y la planificación de la sucesión. Del mismo modo, los sistemas de gestión del aprendizaje dedicados pueden proporcionar herramientas más completas para la creación de contenido, el aprendizaje social, la gestión de competencias y el seguimiento del progreso formativo. Esta especialización puede resultar en una mayor eficacia y un mejor ajuste a las necesidades particulares de cada función.</w:t>
      </w:r>
    </w:p>
    <w:p w14:paraId="58F78F65" w14:textId="77777777" w:rsidR="00A02288" w:rsidRPr="00A02288" w:rsidRDefault="00A02288" w:rsidP="00A02288">
      <w:pPr>
        <w:pStyle w:val="Ttulo4"/>
        <w:rPr>
          <w:lang w:val="es-ES"/>
        </w:rPr>
      </w:pPr>
      <w:r w:rsidRPr="00A02288">
        <w:rPr>
          <w:lang w:val="es-ES"/>
        </w:rPr>
        <w:t>B. Mayor Flexibilidad y Personalización</w:t>
      </w:r>
    </w:p>
    <w:p w14:paraId="2C45045D" w14:textId="77777777" w:rsidR="00A02288" w:rsidRPr="00A02288" w:rsidRDefault="00A02288" w:rsidP="00A02288">
      <w:pPr>
        <w:rPr>
          <w:lang w:val="es-ES"/>
        </w:rPr>
      </w:pPr>
      <w:r w:rsidRPr="00A02288">
        <w:rPr>
          <w:lang w:val="es-ES"/>
        </w:rPr>
        <w:t>Los sistemas separados podrían ofrecer una mayor flexibilidad y opciones de personalización para satisfacer los requisitos únicos de la gestión del talento y la formación. Las organizaciones con procesos muy específicos o complejos en estas áreas podrían encontrar que las soluciones especializadas les permiten adaptar el software a sus necesidades exactas con mayor precisión que una plataforma unificada más general. Esta flexibilidad podría ser especialmente valiosa para empresas en industrias altamente reguladas o con modelos de negocio distintivos que requieren enfoques personalizados para el desarrollo y la gestión del talento.</w:t>
      </w:r>
    </w:p>
    <w:p w14:paraId="6EC5221F" w14:textId="77777777" w:rsidR="00A02288" w:rsidRPr="00A02288" w:rsidRDefault="00A02288" w:rsidP="00A02288">
      <w:pPr>
        <w:pStyle w:val="Ttulo3"/>
        <w:rPr>
          <w:lang w:val="es-ES"/>
        </w:rPr>
      </w:pPr>
      <w:r w:rsidRPr="00A02288">
        <w:rPr>
          <w:lang w:val="es-ES"/>
        </w:rPr>
        <w:t>V. Cuantificando los Riesgos y Desafíos de Mantener Sistemas de RRHH Separados</w:t>
      </w:r>
    </w:p>
    <w:p w14:paraId="1BBB0443" w14:textId="77777777" w:rsidR="00A02288" w:rsidRPr="00A02288" w:rsidRDefault="00A02288" w:rsidP="00A02288">
      <w:pPr>
        <w:pStyle w:val="Ttulo4"/>
        <w:rPr>
          <w:lang w:val="es-ES"/>
        </w:rPr>
      </w:pPr>
      <w:r w:rsidRPr="00A02288">
        <w:rPr>
          <w:lang w:val="es-ES"/>
        </w:rPr>
        <w:t>A. Complejidad de la Integración y Silos de Datos</w:t>
      </w:r>
    </w:p>
    <w:p w14:paraId="709F41B3" w14:textId="77777777" w:rsidR="00A02288" w:rsidRPr="00A02288" w:rsidRDefault="00A02288" w:rsidP="00A02288">
      <w:pPr>
        <w:rPr>
          <w:lang w:val="es-ES"/>
        </w:rPr>
      </w:pPr>
      <w:r w:rsidRPr="00A02288">
        <w:rPr>
          <w:lang w:val="es-ES"/>
        </w:rPr>
        <w:t>Uno de los mayores desafíos de mantener sistemas separados para la gestión del talento y la formación es la complejidad de garantizar un flujo de datos fluido y eficiente entre ellos y con el sistema central de RRHH. La integración de diferentes plataformas de software, a menudo de distintos proveedores, puede requerir el uso de middleware adicional, el desarrollo de interfaces personalizadas o la intervención constante del departamento de TI. Si los sistemas no se comunican de manera efectiva, pueden surgir silos de datos, lo que dificulta la obtención de una visión completa y precisa de la información de los empleados y la generación de informes integrados. Esta falta de integración también puede llevar a inconsistencias en los datos y a la necesidad de realizar tareas manuales de sincronización, lo que aumenta el riesgo de errores y reduce la eficiencia operativa.</w:t>
      </w:r>
    </w:p>
    <w:p w14:paraId="28A8552F" w14:textId="77777777" w:rsidR="00A02288" w:rsidRPr="00A02288" w:rsidRDefault="00A02288" w:rsidP="00A02288">
      <w:pPr>
        <w:pStyle w:val="Ttulo4"/>
        <w:rPr>
          <w:lang w:val="es-ES"/>
        </w:rPr>
      </w:pPr>
      <w:r w:rsidRPr="00A02288">
        <w:rPr>
          <w:lang w:val="es-ES"/>
        </w:rPr>
        <w:t>B. Aumento de Costes y Carga Administrativa</w:t>
      </w:r>
    </w:p>
    <w:p w14:paraId="5CD8A7F1" w14:textId="77777777" w:rsidR="00A02288" w:rsidRPr="00A02288" w:rsidRDefault="00A02288" w:rsidP="00A02288">
      <w:pPr>
        <w:rPr>
          <w:lang w:val="es-ES"/>
        </w:rPr>
      </w:pPr>
      <w:r w:rsidRPr="00A02288">
        <w:rPr>
          <w:lang w:val="es-ES"/>
        </w:rPr>
        <w:t>La gestión de múltiples sistemas de RRHH de diferentes proveedores puede resultar en un aumento significativo de los costes generales. Cada sistema separado probablemente requerirá su propia suscripción, tarifas de implementación y gastos de soporte continuo. Además, la necesidad de integrar estos sistemas puede generar costes adicionales de desarrollo e infraestructura de TI. La carga administrativa también aumenta al tener que gestionar múltiples contratos, coordinar con diferentes proveedores y realizar actualizaciones y mantenimiento en varias plataformas. Esta complejidad puede consumir una cantidad considerable de tiempo y recursos del departamento de RRHH y de TI, desviándolos de tareas más estratégicas.</w:t>
      </w:r>
    </w:p>
    <w:p w14:paraId="7EAFA768" w14:textId="77777777" w:rsidR="00A02288" w:rsidRPr="00A02288" w:rsidRDefault="00A02288" w:rsidP="00A02288">
      <w:pPr>
        <w:pStyle w:val="Ttulo4"/>
        <w:rPr>
          <w:lang w:val="es-ES"/>
        </w:rPr>
      </w:pPr>
      <w:r w:rsidRPr="00A02288">
        <w:rPr>
          <w:lang w:val="es-ES"/>
        </w:rPr>
        <w:t>C. Experiencia de Usuario Inconsistente y Desafíos de Formación</w:t>
      </w:r>
    </w:p>
    <w:p w14:paraId="33B63F56" w14:textId="77777777" w:rsidR="00A02288" w:rsidRPr="00A02288" w:rsidRDefault="00A02288" w:rsidP="00A02288">
      <w:pPr>
        <w:rPr>
          <w:lang w:val="es-ES"/>
        </w:rPr>
      </w:pPr>
      <w:r w:rsidRPr="00A02288">
        <w:rPr>
          <w:lang w:val="es-ES"/>
        </w:rPr>
        <w:t xml:space="preserve">Los empleados pueden encontrar frustrante e ineficiente tener que navegar por múltiples sistemas de RRHH con diferentes interfaces de usuario, procesos de inicio de sesión y </w:t>
      </w:r>
      <w:r w:rsidRPr="00A02288">
        <w:rPr>
          <w:lang w:val="es-ES"/>
        </w:rPr>
        <w:lastRenderedPageBreak/>
        <w:t>funcionalidades. Esta experiencia de usuario inconsistente puede dificultar la adopción de los sistemas y reducir la productividad. Además, la formación de los empleados en el uso de diferentes plataformas de software aumenta la complejidad y los costes de la formación. El departamento de RRHH deberá invertir más tiempo y recursos en la creación y entrega de materiales de formación para cada sistema, y los empleados deberán dedicar más tiempo a aprender a utilizar las diferentes herramientas. Esta situación contrasta con la experiencia más fluida y sencilla que ofrece una plataforma unificada con una interfaz de usuario consistente en todas las funciones de RRHH.</w:t>
      </w:r>
    </w:p>
    <w:p w14:paraId="71A89823" w14:textId="77777777" w:rsidR="00A02288" w:rsidRPr="00A02288" w:rsidRDefault="00A02288" w:rsidP="00A02288">
      <w:pPr>
        <w:pStyle w:val="Ttulo4"/>
        <w:rPr>
          <w:lang w:val="es-ES"/>
        </w:rPr>
      </w:pPr>
      <w:r w:rsidRPr="00A02288">
        <w:rPr>
          <w:lang w:val="es-ES"/>
        </w:rPr>
        <w:t>D. Posibles Inexactitudes en los Datos y Riesgos de Cumplimiento</w:t>
      </w:r>
    </w:p>
    <w:p w14:paraId="6BE16502" w14:textId="77777777" w:rsidR="00A02288" w:rsidRPr="00A02288" w:rsidRDefault="00A02288" w:rsidP="00A02288">
      <w:pPr>
        <w:rPr>
          <w:lang w:val="es-ES"/>
        </w:rPr>
      </w:pPr>
      <w:r w:rsidRPr="00A02288">
        <w:rPr>
          <w:lang w:val="es-ES"/>
        </w:rPr>
        <w:t>La falta de centralización de los datos en sistemas separados aumenta el riesgo de errores e inconsistencias en la información de los empleados. Cuando los datos se introducen y se mantienen en múltiples plataformas, es más probable que surjan discrepancias y que la información no esté actualizada en todos los sistemas. Esto puede tener consecuencias negativas en áreas como la nómina, la gestión de beneficios y los informes de cumplimiento. Además, la gestión de datos sensibles de RRHH en múltiples sistemas puede dificultar el cumplimiento de las normativas de privacidad y protección de datos, como el RGPD o la CCPA, lo que aumenta el riesgo de posibles sanciones legales y daños a la reputación de la organización.</w:t>
      </w:r>
    </w:p>
    <w:p w14:paraId="40ECE5F4" w14:textId="77777777" w:rsidR="00A02288" w:rsidRPr="00A02288" w:rsidRDefault="00A02288" w:rsidP="00A02288">
      <w:pPr>
        <w:pStyle w:val="Ttulo3"/>
        <w:rPr>
          <w:lang w:val="es-ES"/>
        </w:rPr>
      </w:pPr>
      <w:r w:rsidRPr="00A02288">
        <w:rPr>
          <w:lang w:val="es-ES"/>
        </w:rPr>
        <w:t>VI. Los Beneficios Estratégicos y Operativos de una Solución de RRHH Integrada</w:t>
      </w:r>
    </w:p>
    <w:p w14:paraId="5B3E8E97" w14:textId="77777777" w:rsidR="00A02288" w:rsidRPr="00A02288" w:rsidRDefault="00A02288" w:rsidP="00A02288">
      <w:pPr>
        <w:pStyle w:val="Ttulo4"/>
        <w:rPr>
          <w:lang w:val="es-ES"/>
        </w:rPr>
      </w:pPr>
      <w:r w:rsidRPr="00A02288">
        <w:rPr>
          <w:lang w:val="es-ES"/>
        </w:rPr>
        <w:t>A. Alineación Estratégica Mejorada</w:t>
      </w:r>
    </w:p>
    <w:p w14:paraId="09F1259A" w14:textId="77777777" w:rsidR="00A02288" w:rsidRPr="00A02288" w:rsidRDefault="00A02288" w:rsidP="00A02288">
      <w:pPr>
        <w:rPr>
          <w:lang w:val="es-ES"/>
        </w:rPr>
      </w:pPr>
      <w:r w:rsidRPr="00A02288">
        <w:rPr>
          <w:lang w:val="es-ES"/>
        </w:rPr>
        <w:t>Una plataforma unificada puede alinear mejor la estrategia de RRHH con los objetivos comerciales generales de la organización. Al proporcionar una visión holística de la fuerza laboral y permitir el seguimiento del impacto de las iniciativas de RRHH en los resultados comerciales, una solución integrada empodera al departamento de RRHH para convertirse en un socio estratégico más valioso para la empresa.</w:t>
      </w:r>
    </w:p>
    <w:p w14:paraId="033C4A42" w14:textId="77777777" w:rsidR="00A02288" w:rsidRPr="00A02288" w:rsidRDefault="00A02288" w:rsidP="00A02288">
      <w:pPr>
        <w:pStyle w:val="Ttulo4"/>
        <w:rPr>
          <w:lang w:val="es-ES"/>
        </w:rPr>
      </w:pPr>
      <w:r w:rsidRPr="00A02288">
        <w:rPr>
          <w:lang w:val="es-ES"/>
        </w:rPr>
        <w:t>B. Eficiencia y Productividad Mejoradas</w:t>
      </w:r>
    </w:p>
    <w:p w14:paraId="3AF97A21" w14:textId="77777777" w:rsidR="00A02288" w:rsidRPr="00A02288" w:rsidRDefault="00A02288" w:rsidP="00A02288">
      <w:pPr>
        <w:rPr>
          <w:lang w:val="es-ES"/>
        </w:rPr>
      </w:pPr>
      <w:r w:rsidRPr="00A02288">
        <w:rPr>
          <w:lang w:val="es-ES"/>
        </w:rPr>
        <w:t>La automatización de tareas rutinarias y la simplificación de los flujos de trabajo en una plataforma unificada liberan al personal de RRHH para que se centre en iniciativas más estratégicas. Esto conduce a una mayor eficiencia y productividad en todo el departamento de RRHH, lo que permite una mejor asignación de recursos y una mayor capacidad para abordar las necesidades de la organización.</w:t>
      </w:r>
    </w:p>
    <w:p w14:paraId="0FCF07A7" w14:textId="77777777" w:rsidR="00A02288" w:rsidRPr="00A02288" w:rsidRDefault="00A02288" w:rsidP="00A02288">
      <w:pPr>
        <w:pStyle w:val="Ttulo4"/>
        <w:rPr>
          <w:lang w:val="es-ES"/>
        </w:rPr>
      </w:pPr>
      <w:r w:rsidRPr="00A02288">
        <w:rPr>
          <w:lang w:val="es-ES"/>
        </w:rPr>
        <w:t>C. Mejor Toma de Decisiones Basada en Datos</w:t>
      </w:r>
    </w:p>
    <w:p w14:paraId="14655CF9" w14:textId="77777777" w:rsidR="00A02288" w:rsidRPr="00A02288" w:rsidRDefault="00A02288" w:rsidP="00A02288">
      <w:pPr>
        <w:rPr>
          <w:lang w:val="es-ES"/>
        </w:rPr>
      </w:pPr>
      <w:r w:rsidRPr="00A02288">
        <w:rPr>
          <w:lang w:val="es-ES"/>
        </w:rPr>
        <w:t>Una solución integrada proporciona una fuente centralizada de datos de RRHH, lo que facilita la generación de informes completos y la obtención de información valiosa para la toma de decisiones. La capacidad de analizar datos de diferentes funciones de RRHH en un solo lugar permite a los líderes de RRHH tomar decisiones más informadas y basadas en evidencia en áreas clave como la gestión del talento y la planificación de la fuerza laboral.</w:t>
      </w:r>
    </w:p>
    <w:p w14:paraId="0FAC84FE" w14:textId="77777777" w:rsidR="00A02288" w:rsidRPr="00A02288" w:rsidRDefault="00A02288" w:rsidP="00A02288">
      <w:pPr>
        <w:pStyle w:val="Ttulo4"/>
        <w:rPr>
          <w:lang w:val="es-ES"/>
        </w:rPr>
      </w:pPr>
      <w:r w:rsidRPr="00A02288">
        <w:rPr>
          <w:lang w:val="es-ES"/>
        </w:rPr>
        <w:t>D. Cumplimiento Normativo y Mitigación de Riesgos Mejorados</w:t>
      </w:r>
    </w:p>
    <w:p w14:paraId="6876B127" w14:textId="77777777" w:rsidR="00A02288" w:rsidRPr="00A02288" w:rsidRDefault="00A02288" w:rsidP="00A02288">
      <w:pPr>
        <w:rPr>
          <w:lang w:val="es-ES"/>
        </w:rPr>
      </w:pPr>
      <w:r w:rsidRPr="00A02288">
        <w:rPr>
          <w:lang w:val="es-ES"/>
        </w:rPr>
        <w:t>Una plataforma unificada puede ayudar a garantizar el cumplimiento de las leyes y regulaciones laborales al proporcionar un sistema centralizado para la gestión de datos y el seguimiento de los requisitos de cumplimiento. Esto reduce el riesgo de errores y omisiones que pueden ocurrir al gestionar el cumplimiento en sistemas separados.</w:t>
      </w:r>
    </w:p>
    <w:p w14:paraId="2C771DCE" w14:textId="77777777" w:rsidR="00A02288" w:rsidRPr="00A02288" w:rsidRDefault="00A02288" w:rsidP="00A02288">
      <w:pPr>
        <w:pStyle w:val="Ttulo3"/>
        <w:rPr>
          <w:lang w:val="es-ES"/>
        </w:rPr>
      </w:pPr>
      <w:r w:rsidRPr="00A02288">
        <w:rPr>
          <w:lang w:val="es-ES"/>
        </w:rPr>
        <w:lastRenderedPageBreak/>
        <w:t>VII. Aprendiendo de la Experiencia: Estudios de Caso de Empresas que Navegan por Sistemas de RRHH Unificados vs. Separados</w:t>
      </w:r>
    </w:p>
    <w:p w14:paraId="70BF2C3E" w14:textId="77777777" w:rsidR="00A02288" w:rsidRPr="00A02288" w:rsidRDefault="00A02288" w:rsidP="00A02288">
      <w:pPr>
        <w:pStyle w:val="Ttulo4"/>
        <w:rPr>
          <w:lang w:val="es-ES"/>
        </w:rPr>
      </w:pPr>
      <w:r w:rsidRPr="00A02288">
        <w:rPr>
          <w:lang w:val="es-ES"/>
        </w:rPr>
        <w:t>A. Estudios de Caso que Favorecen una Plataforma Unificada</w:t>
      </w:r>
    </w:p>
    <w:p w14:paraId="71114081" w14:textId="77777777" w:rsidR="00A02288" w:rsidRPr="00A02288" w:rsidRDefault="00A02288" w:rsidP="00A02288">
      <w:pPr>
        <w:rPr>
          <w:lang w:val="es-ES"/>
        </w:rPr>
      </w:pPr>
      <w:r w:rsidRPr="00A02288">
        <w:rPr>
          <w:lang w:val="es-ES"/>
        </w:rPr>
        <w:t xml:space="preserve">Kemira: Esta empresa química global implementó SAP </w:t>
      </w:r>
      <w:proofErr w:type="spellStart"/>
      <w:r w:rsidRPr="00A02288">
        <w:rPr>
          <w:lang w:val="es-ES"/>
        </w:rPr>
        <w:t>SuccessFactors</w:t>
      </w:r>
      <w:proofErr w:type="spellEnd"/>
      <w:r w:rsidRPr="00A02288">
        <w:rPr>
          <w:lang w:val="es-ES"/>
        </w:rPr>
        <w:t xml:space="preserve"> en más de 40 países, consolidando múltiples sistemas heredados en una única plataforma. Lograron una reducción del 30% en las tareas administrativas de RRHH, una incorporación de empleados un 40% más rápida y una mayor precisión de los datos.</w:t>
      </w:r>
    </w:p>
    <w:p w14:paraId="3DE489FA" w14:textId="77777777" w:rsidR="00A02288" w:rsidRPr="00A02288" w:rsidRDefault="00A02288" w:rsidP="00A02288">
      <w:pPr>
        <w:rPr>
          <w:lang w:val="es-ES"/>
        </w:rPr>
      </w:pPr>
      <w:r w:rsidRPr="00A02288">
        <w:rPr>
          <w:lang w:val="es-ES"/>
        </w:rPr>
        <w:t xml:space="preserve">Microsoft: La compañía tecnológica llevó a cabo un esfuerzo plurianual para migrar sus sistemas centrales de RRHH a SAP </w:t>
      </w:r>
      <w:proofErr w:type="spellStart"/>
      <w:r w:rsidRPr="00A02288">
        <w:rPr>
          <w:lang w:val="es-ES"/>
        </w:rPr>
        <w:t>SuccessFactors</w:t>
      </w:r>
      <w:proofErr w:type="spellEnd"/>
      <w:r w:rsidRPr="00A02288">
        <w:rPr>
          <w:lang w:val="es-ES"/>
        </w:rPr>
        <w:t>, con el objetivo de unificar la experiencia de sus empleados a nivel mundial.</w:t>
      </w:r>
    </w:p>
    <w:p w14:paraId="038E1211" w14:textId="77777777" w:rsidR="00A02288" w:rsidRPr="00A02288" w:rsidRDefault="00A02288" w:rsidP="00A02288">
      <w:pPr>
        <w:rPr>
          <w:lang w:val="es-ES"/>
        </w:rPr>
      </w:pPr>
      <w:r w:rsidRPr="00A02288">
        <w:rPr>
          <w:lang w:val="es-ES"/>
        </w:rPr>
        <w:t>Sunrise: Esta empresa seleccionó Workday para centralizar sus datos de RRHH en un solo sistema, lo que resultó en procesos más eficientes en las operaciones de RRHH y la nómina, además de proporcionar un mejor soporte a los empleados.</w:t>
      </w:r>
    </w:p>
    <w:p w14:paraId="7C57CC45" w14:textId="77777777" w:rsidR="00A02288" w:rsidRPr="00A02288" w:rsidRDefault="00A02288" w:rsidP="00A02288">
      <w:pPr>
        <w:rPr>
          <w:lang w:val="es-ES"/>
        </w:rPr>
      </w:pPr>
      <w:r w:rsidRPr="00A02288">
        <w:rPr>
          <w:lang w:val="es-ES"/>
        </w:rPr>
        <w:t xml:space="preserve">UPP: Esta organización mejoró su autosuficiencia y eficiencia en RRHH al suscribirse a Workday Success </w:t>
      </w:r>
      <w:proofErr w:type="spellStart"/>
      <w:r w:rsidRPr="00A02288">
        <w:rPr>
          <w:lang w:val="es-ES"/>
        </w:rPr>
        <w:t>Plans</w:t>
      </w:r>
      <w:proofErr w:type="spellEnd"/>
      <w:r w:rsidRPr="00A02288">
        <w:rPr>
          <w:lang w:val="es-ES"/>
        </w:rPr>
        <w:t>, lo que les permitió optimizar sus procesos de RRHH y finanzas.</w:t>
      </w:r>
    </w:p>
    <w:p w14:paraId="4F4478D0" w14:textId="77777777" w:rsidR="00A02288" w:rsidRPr="00A02288" w:rsidRDefault="00A02288" w:rsidP="00A02288">
      <w:pPr>
        <w:rPr>
          <w:lang w:val="es-ES"/>
        </w:rPr>
      </w:pPr>
      <w:r w:rsidRPr="00A02288">
        <w:rPr>
          <w:lang w:val="es-ES"/>
        </w:rPr>
        <w:t>Oracle HCM Cloud para Clientes de PeopleSoft: Oracle ofrece una solución integral y unificada para los clientes que migran desde PeopleSoft a su plataforma HCM Cloud, lo que garantiza una transición sin problemas y proporciona beneficios como la reducción del tiempo de generación de informes y la simplificación de las actualizaciones.</w:t>
      </w:r>
    </w:p>
    <w:p w14:paraId="10DBA63F" w14:textId="77777777" w:rsidR="00A02288" w:rsidRPr="00A02288" w:rsidRDefault="00A02288" w:rsidP="00A02288">
      <w:pPr>
        <w:rPr>
          <w:lang w:val="es-ES"/>
        </w:rPr>
      </w:pPr>
      <w:r w:rsidRPr="00A02288">
        <w:rPr>
          <w:lang w:val="es-ES"/>
        </w:rPr>
        <w:t>Gobierno Estatal (sin nombre específico): Este organismo público logró una carga de datos exitosa al 100% al migrar datos de HCM y nómina desde PeopleSoft y otros sistemas a Workday.</w:t>
      </w:r>
    </w:p>
    <w:p w14:paraId="55857AD4" w14:textId="77777777" w:rsidR="00A02288" w:rsidRPr="00A02288" w:rsidRDefault="00A02288" w:rsidP="00A02288">
      <w:pPr>
        <w:rPr>
          <w:lang w:val="es-ES"/>
        </w:rPr>
      </w:pPr>
      <w:r w:rsidRPr="00A02288">
        <w:rPr>
          <w:lang w:val="es-ES"/>
        </w:rPr>
        <w:t>Firma de Servicios Financieros Global (sin nombre específico): Esta empresa realizó la migración desde PeopleSoft HCM a Workday HCM, buscando un experto en gestión del cambio y formación para facilitar la transición de los usuarios.</w:t>
      </w:r>
    </w:p>
    <w:p w14:paraId="7CC5FCD7" w14:textId="77777777" w:rsidR="00A02288" w:rsidRPr="00A02288" w:rsidRDefault="00A02288" w:rsidP="00A02288">
      <w:pPr>
        <w:rPr>
          <w:lang w:val="es-ES"/>
        </w:rPr>
      </w:pPr>
      <w:r w:rsidRPr="00A02288">
        <w:rPr>
          <w:lang w:val="es-ES"/>
        </w:rPr>
        <w:t xml:space="preserve">Grundfos: Esta empresa reemplazó su sistema SAP HCM </w:t>
      </w:r>
      <w:proofErr w:type="spellStart"/>
      <w:r w:rsidRPr="00A02288">
        <w:rPr>
          <w:lang w:val="es-ES"/>
        </w:rPr>
        <w:t>On</w:t>
      </w:r>
      <w:proofErr w:type="spellEnd"/>
      <w:r w:rsidRPr="00A02288">
        <w:rPr>
          <w:lang w:val="es-ES"/>
        </w:rPr>
        <w:t xml:space="preserve">-Prem por SAP </w:t>
      </w:r>
      <w:proofErr w:type="spellStart"/>
      <w:r w:rsidRPr="00A02288">
        <w:rPr>
          <w:lang w:val="es-ES"/>
        </w:rPr>
        <w:t>SuccessFactors</w:t>
      </w:r>
      <w:proofErr w:type="spellEnd"/>
      <w:r w:rsidRPr="00A02288">
        <w:rPr>
          <w:lang w:val="es-ES"/>
        </w:rPr>
        <w:t xml:space="preserve"> </w:t>
      </w:r>
      <w:proofErr w:type="spellStart"/>
      <w:r w:rsidRPr="00A02288">
        <w:rPr>
          <w:lang w:val="es-ES"/>
        </w:rPr>
        <w:t>Employee</w:t>
      </w:r>
      <w:proofErr w:type="spellEnd"/>
      <w:r w:rsidRPr="00A02288">
        <w:rPr>
          <w:lang w:val="es-ES"/>
        </w:rPr>
        <w:t xml:space="preserve"> Central en 67 países, logrando una plantilla unificada de datos centrales de RRHH para toda la organización.</w:t>
      </w:r>
    </w:p>
    <w:p w14:paraId="5281BE8A" w14:textId="77777777" w:rsidR="00A02288" w:rsidRPr="00A02288" w:rsidRDefault="00A02288" w:rsidP="00A02288">
      <w:pPr>
        <w:pStyle w:val="Ttulo4"/>
        <w:rPr>
          <w:lang w:val="es-ES"/>
        </w:rPr>
      </w:pPr>
      <w:r w:rsidRPr="00A02288">
        <w:rPr>
          <w:lang w:val="es-ES"/>
        </w:rPr>
        <w:t>B. Estudios de Caso que Destacan los Desafíos con Sistemas Separados</w:t>
      </w:r>
    </w:p>
    <w:p w14:paraId="5677867A" w14:textId="77777777" w:rsidR="00A02288" w:rsidRPr="00A02288" w:rsidRDefault="00A02288" w:rsidP="00A02288">
      <w:pPr>
        <w:rPr>
          <w:lang w:val="es-ES"/>
        </w:rPr>
      </w:pPr>
      <w:proofErr w:type="spellStart"/>
      <w:r w:rsidRPr="00A02288">
        <w:rPr>
          <w:lang w:val="es-ES"/>
        </w:rPr>
        <w:t>HealthFirst</w:t>
      </w:r>
      <w:proofErr w:type="spellEnd"/>
      <w:r w:rsidRPr="00A02288">
        <w:rPr>
          <w:lang w:val="es-ES"/>
        </w:rPr>
        <w:t>: Este proveedor de atención médica de tamaño mediano enfrentó importantes problemas de compatibilidad de datos durante un proyecto de migración al cambiar a un nuevo sistema de registros médicos electrónicos (EHR). Este caso ilustra los desafíos que pueden surgir al integrar sistemas dispares y la importancia de una planificación exhaustiva para evitar problemas de compatibilidad de datos.</w:t>
      </w:r>
    </w:p>
    <w:p w14:paraId="509A80BB" w14:textId="77777777" w:rsidR="0024500C" w:rsidRPr="00A02288" w:rsidRDefault="0024500C" w:rsidP="00A02288"/>
    <w:sectPr w:rsidR="0024500C" w:rsidRPr="00A02288">
      <w:headerReference w:type="even" r:id="rId10"/>
      <w:headerReference w:type="default" r:id="rId11"/>
      <w:footerReference w:type="even" r:id="rId12"/>
      <w:footerReference w:type="default" r:id="rId13"/>
      <w:headerReference w:type="first" r:id="rId14"/>
      <w:footerReference w:type="first" r:id="rId1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60561" w14:textId="77777777" w:rsidR="008633BE" w:rsidRDefault="008633BE" w:rsidP="008633BE">
      <w:pPr>
        <w:spacing w:after="0"/>
      </w:pPr>
      <w:r>
        <w:separator/>
      </w:r>
    </w:p>
  </w:endnote>
  <w:endnote w:type="continuationSeparator" w:id="0">
    <w:p w14:paraId="1688A174" w14:textId="77777777" w:rsidR="008633BE" w:rsidRDefault="008633BE" w:rsidP="008633B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4B74E" w14:textId="167E10B5" w:rsidR="008633BE" w:rsidRDefault="008633BE">
    <w:pPr>
      <w:pStyle w:val="Piedepgina"/>
    </w:pPr>
    <w:r>
      <w:rPr>
        <w:noProof/>
      </w:rPr>
      <mc:AlternateContent>
        <mc:Choice Requires="wps">
          <w:drawing>
            <wp:anchor distT="0" distB="0" distL="0" distR="0" simplePos="0" relativeHeight="251662336" behindDoc="0" locked="0" layoutInCell="1" allowOverlap="1" wp14:anchorId="7D53A194" wp14:editId="57AA1935">
              <wp:simplePos x="635" y="635"/>
              <wp:positionH relativeFrom="page">
                <wp:align>center</wp:align>
              </wp:positionH>
              <wp:positionV relativeFrom="page">
                <wp:align>bottom</wp:align>
              </wp:positionV>
              <wp:extent cx="2251710" cy="314325"/>
              <wp:effectExtent l="0" t="0" r="15240" b="0"/>
              <wp:wrapNone/>
              <wp:docPr id="1178356286" name="Cuadro de texto 5" descr="Uso Interno - No compartir fuera de la organizació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51710" cy="314325"/>
                      </a:xfrm>
                      <a:prstGeom prst="rect">
                        <a:avLst/>
                      </a:prstGeom>
                      <a:noFill/>
                      <a:ln>
                        <a:noFill/>
                      </a:ln>
                    </wps:spPr>
                    <wps:txbx>
                      <w:txbxContent>
                        <w:p w14:paraId="25679F4B" w14:textId="1356CCE7" w:rsidR="008633BE" w:rsidRPr="008633BE" w:rsidRDefault="008633BE" w:rsidP="008633BE">
                          <w:pPr>
                            <w:spacing w:after="0"/>
                            <w:rPr>
                              <w:rFonts w:ascii="Aptos" w:eastAsia="Aptos" w:hAnsi="Aptos" w:cs="Aptos"/>
                              <w:noProof/>
                              <w:color w:val="000000"/>
                              <w:sz w:val="16"/>
                              <w:szCs w:val="16"/>
                            </w:rPr>
                          </w:pPr>
                          <w:r w:rsidRPr="008633BE">
                            <w:rPr>
                              <w:rFonts w:ascii="Aptos" w:eastAsia="Aptos" w:hAnsi="Aptos" w:cs="Aptos"/>
                              <w:noProof/>
                              <w:color w:val="000000"/>
                              <w:sz w:val="16"/>
                              <w:szCs w:val="16"/>
                            </w:rPr>
                            <w:t>Uso Interno - No compartir fuera de la organización.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D53A194" id="_x0000_t202" coordsize="21600,21600" o:spt="202" path="m,l,21600r21600,l21600,xe">
              <v:stroke joinstyle="miter"/>
              <v:path gradientshapeok="t" o:connecttype="rect"/>
            </v:shapetype>
            <v:shape id="Cuadro de texto 5" o:spid="_x0000_s1028" type="#_x0000_t202" alt="Uso Interno - No compartir fuera de la organización." style="position:absolute;left:0;text-align:left;margin-left:0;margin-top:0;width:177.3pt;height:24.7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" filled="f" stroked="f">
              <v:fill o:detectmouseclick="t"/>
              <v:textbox style="mso-fit-shape-to-text:t" inset="0,0,0,15pt">
                <w:txbxContent>
                  <w:p w14:paraId="25679F4B" w14:textId="1356CCE7" w:rsidR="008633BE" w:rsidRPr="008633BE" w:rsidRDefault="008633BE" w:rsidP="008633BE">
                    <w:pPr>
                      <w:spacing w:after="0"/>
                      <w:rPr>
                        <w:rFonts w:ascii="Aptos" w:eastAsia="Aptos" w:hAnsi="Aptos" w:cs="Aptos"/>
                        <w:noProof/>
                        <w:color w:val="000000"/>
                        <w:sz w:val="16"/>
                        <w:szCs w:val="16"/>
                      </w:rPr>
                    </w:pPr>
                    <w:r w:rsidRPr="008633BE">
                      <w:rPr>
                        <w:rFonts w:ascii="Aptos" w:eastAsia="Aptos" w:hAnsi="Aptos" w:cs="Aptos"/>
                        <w:noProof/>
                        <w:color w:val="000000"/>
                        <w:sz w:val="16"/>
                        <w:szCs w:val="16"/>
                      </w:rPr>
                      <w:t>Uso Interno - No compartir fuera de la organización.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1B913" w14:textId="1B747FD8" w:rsidR="008633BE" w:rsidRDefault="008633BE">
    <w:pPr>
      <w:pStyle w:val="Piedepgina"/>
    </w:pPr>
    <w:r>
      <w:rPr>
        <w:noProof/>
      </w:rPr>
      <mc:AlternateContent>
        <mc:Choice Requires="wps">
          <w:drawing>
            <wp:anchor distT="0" distB="0" distL="0" distR="0" simplePos="0" relativeHeight="251663360" behindDoc="0" locked="0" layoutInCell="1" allowOverlap="1" wp14:anchorId="5F594DBF" wp14:editId="4350693D">
              <wp:simplePos x="635" y="635"/>
              <wp:positionH relativeFrom="page">
                <wp:align>center</wp:align>
              </wp:positionH>
              <wp:positionV relativeFrom="page">
                <wp:align>bottom</wp:align>
              </wp:positionV>
              <wp:extent cx="2251710" cy="314325"/>
              <wp:effectExtent l="0" t="0" r="15240" b="0"/>
              <wp:wrapNone/>
              <wp:docPr id="122249721" name="Cuadro de texto 6" descr="Uso Interno - No compartir fuera de la organizació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51710" cy="314325"/>
                      </a:xfrm>
                      <a:prstGeom prst="rect">
                        <a:avLst/>
                      </a:prstGeom>
                      <a:noFill/>
                      <a:ln>
                        <a:noFill/>
                      </a:ln>
                    </wps:spPr>
                    <wps:txbx>
                      <w:txbxContent>
                        <w:p w14:paraId="236A0772" w14:textId="35AC6B0B" w:rsidR="008633BE" w:rsidRPr="008633BE" w:rsidRDefault="008633BE" w:rsidP="008633BE">
                          <w:pPr>
                            <w:spacing w:after="0"/>
                            <w:rPr>
                              <w:rFonts w:ascii="Aptos" w:eastAsia="Aptos" w:hAnsi="Aptos" w:cs="Aptos"/>
                              <w:noProof/>
                              <w:color w:val="000000"/>
                              <w:sz w:val="16"/>
                              <w:szCs w:val="16"/>
                            </w:rPr>
                          </w:pPr>
                          <w:r w:rsidRPr="008633BE">
                            <w:rPr>
                              <w:rFonts w:ascii="Aptos" w:eastAsia="Aptos" w:hAnsi="Aptos" w:cs="Aptos"/>
                              <w:noProof/>
                              <w:color w:val="000000"/>
                              <w:sz w:val="16"/>
                              <w:szCs w:val="16"/>
                            </w:rPr>
                            <w:t>Uso Interno - No compartir fuera de la organización.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F594DBF" id="_x0000_t202" coordsize="21600,21600" o:spt="202" path="m,l,21600r21600,l21600,xe">
              <v:stroke joinstyle="miter"/>
              <v:path gradientshapeok="t" o:connecttype="rect"/>
            </v:shapetype>
            <v:shape id="Cuadro de texto 6" o:spid="_x0000_s1029" type="#_x0000_t202" alt="Uso Interno - No compartir fuera de la organización." style="position:absolute;left:0;text-align:left;margin-left:0;margin-top:0;width:177.3pt;height:24.7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" filled="f" stroked="f">
              <v:fill o:detectmouseclick="t"/>
              <v:textbox style="mso-fit-shape-to-text:t" inset="0,0,0,15pt">
                <w:txbxContent>
                  <w:p w14:paraId="236A0772" w14:textId="35AC6B0B" w:rsidR="008633BE" w:rsidRPr="008633BE" w:rsidRDefault="008633BE" w:rsidP="008633BE">
                    <w:pPr>
                      <w:spacing w:after="0"/>
                      <w:rPr>
                        <w:rFonts w:ascii="Aptos" w:eastAsia="Aptos" w:hAnsi="Aptos" w:cs="Aptos"/>
                        <w:noProof/>
                        <w:color w:val="000000"/>
                        <w:sz w:val="16"/>
                        <w:szCs w:val="16"/>
                      </w:rPr>
                    </w:pPr>
                    <w:r w:rsidRPr="008633BE">
                      <w:rPr>
                        <w:rFonts w:ascii="Aptos" w:eastAsia="Aptos" w:hAnsi="Aptos" w:cs="Aptos"/>
                        <w:noProof/>
                        <w:color w:val="000000"/>
                        <w:sz w:val="16"/>
                        <w:szCs w:val="16"/>
                      </w:rPr>
                      <w:t>Uso Interno - No compartir fuera de la organización.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F54AD" w14:textId="603A37C3" w:rsidR="008633BE" w:rsidRDefault="008633BE">
    <w:pPr>
      <w:pStyle w:val="Piedepgina"/>
    </w:pPr>
    <w:r>
      <w:rPr>
        <w:noProof/>
      </w:rPr>
      <mc:AlternateContent>
        <mc:Choice Requires="wps">
          <w:drawing>
            <wp:anchor distT="0" distB="0" distL="0" distR="0" simplePos="0" relativeHeight="251661312" behindDoc="0" locked="0" layoutInCell="1" allowOverlap="1" wp14:anchorId="347A28CE" wp14:editId="30E73DA2">
              <wp:simplePos x="635" y="635"/>
              <wp:positionH relativeFrom="page">
                <wp:align>center</wp:align>
              </wp:positionH>
              <wp:positionV relativeFrom="page">
                <wp:align>bottom</wp:align>
              </wp:positionV>
              <wp:extent cx="2251710" cy="314325"/>
              <wp:effectExtent l="0" t="0" r="15240" b="0"/>
              <wp:wrapNone/>
              <wp:docPr id="479202209" name="Cuadro de texto 4" descr="Uso Interno - No compartir fuera de la organizació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51710" cy="314325"/>
                      </a:xfrm>
                      <a:prstGeom prst="rect">
                        <a:avLst/>
                      </a:prstGeom>
                      <a:noFill/>
                      <a:ln>
                        <a:noFill/>
                      </a:ln>
                    </wps:spPr>
                    <wps:txbx>
                      <w:txbxContent>
                        <w:p w14:paraId="4F92D966" w14:textId="4FAB0754" w:rsidR="008633BE" w:rsidRPr="008633BE" w:rsidRDefault="008633BE" w:rsidP="008633BE">
                          <w:pPr>
                            <w:spacing w:after="0"/>
                            <w:rPr>
                              <w:rFonts w:ascii="Aptos" w:eastAsia="Aptos" w:hAnsi="Aptos" w:cs="Aptos"/>
                              <w:noProof/>
                              <w:color w:val="000000"/>
                              <w:sz w:val="16"/>
                              <w:szCs w:val="16"/>
                            </w:rPr>
                          </w:pPr>
                          <w:r w:rsidRPr="008633BE">
                            <w:rPr>
                              <w:rFonts w:ascii="Aptos" w:eastAsia="Aptos" w:hAnsi="Aptos" w:cs="Aptos"/>
                              <w:noProof/>
                              <w:color w:val="000000"/>
                              <w:sz w:val="16"/>
                              <w:szCs w:val="16"/>
                            </w:rPr>
                            <w:t>Uso Interno - No compartir fuera de la organización.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47A28CE" id="_x0000_t202" coordsize="21600,21600" o:spt="202" path="m,l,21600r21600,l21600,xe">
              <v:stroke joinstyle="miter"/>
              <v:path gradientshapeok="t" o:connecttype="rect"/>
            </v:shapetype>
            <v:shape id="Cuadro de texto 4" o:spid="_x0000_s1031" type="#_x0000_t202" alt="Uso Interno - No compartir fuera de la organización." style="position:absolute;left:0;text-align:left;margin-left:0;margin-top:0;width:177.3pt;height:24.7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" filled="f" stroked="f">
              <v:fill o:detectmouseclick="t"/>
              <v:textbox style="mso-fit-shape-to-text:t" inset="0,0,0,15pt">
                <w:txbxContent>
                  <w:p w14:paraId="4F92D966" w14:textId="4FAB0754" w:rsidR="008633BE" w:rsidRPr="008633BE" w:rsidRDefault="008633BE" w:rsidP="008633BE">
                    <w:pPr>
                      <w:spacing w:after="0"/>
                      <w:rPr>
                        <w:rFonts w:ascii="Aptos" w:eastAsia="Aptos" w:hAnsi="Aptos" w:cs="Aptos"/>
                        <w:noProof/>
                        <w:color w:val="000000"/>
                        <w:sz w:val="16"/>
                        <w:szCs w:val="16"/>
                      </w:rPr>
                    </w:pPr>
                    <w:r w:rsidRPr="008633BE">
                      <w:rPr>
                        <w:rFonts w:ascii="Aptos" w:eastAsia="Aptos" w:hAnsi="Aptos" w:cs="Aptos"/>
                        <w:noProof/>
                        <w:color w:val="000000"/>
                        <w:sz w:val="16"/>
                        <w:szCs w:val="16"/>
                      </w:rPr>
                      <w:t>Uso Interno - No compartir fuera de la organización.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8A818" w14:textId="77777777" w:rsidR="008633BE" w:rsidRDefault="008633BE" w:rsidP="008633BE">
      <w:pPr>
        <w:spacing w:after="0"/>
      </w:pPr>
      <w:r>
        <w:separator/>
      </w:r>
    </w:p>
  </w:footnote>
  <w:footnote w:type="continuationSeparator" w:id="0">
    <w:p w14:paraId="38232BF4" w14:textId="77777777" w:rsidR="008633BE" w:rsidRDefault="008633BE" w:rsidP="008633B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3ADF5" w14:textId="763D2C4A" w:rsidR="008633BE" w:rsidRDefault="008633BE">
    <w:pPr>
      <w:pStyle w:val="Encabezado"/>
    </w:pPr>
    <w:r>
      <w:rPr>
        <w:noProof/>
      </w:rPr>
      <mc:AlternateContent>
        <mc:Choice Requires="wps">
          <w:drawing>
            <wp:anchor distT="0" distB="0" distL="0" distR="0" simplePos="0" relativeHeight="251659264" behindDoc="0" locked="0" layoutInCell="1" allowOverlap="1" wp14:anchorId="23D902D4" wp14:editId="7D862A89">
              <wp:simplePos x="635" y="635"/>
              <wp:positionH relativeFrom="page">
                <wp:align>left</wp:align>
              </wp:positionH>
              <wp:positionV relativeFrom="page">
                <wp:align>top</wp:align>
              </wp:positionV>
              <wp:extent cx="647065" cy="345440"/>
              <wp:effectExtent l="0" t="0" r="635" b="16510"/>
              <wp:wrapNone/>
              <wp:docPr id="1754713043" name="Cuadro de texto 2" descr="Intern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47065" cy="345440"/>
                      </a:xfrm>
                      <a:prstGeom prst="rect">
                        <a:avLst/>
                      </a:prstGeom>
                      <a:noFill/>
                      <a:ln>
                        <a:noFill/>
                      </a:ln>
                    </wps:spPr>
                    <wps:txbx>
                      <w:txbxContent>
                        <w:p w14:paraId="7452A2CF" w14:textId="213CCF12" w:rsidR="008633BE" w:rsidRPr="008633BE" w:rsidRDefault="008633BE" w:rsidP="008633BE">
                          <w:pPr>
                            <w:spacing w:after="0"/>
                            <w:rPr>
                              <w:rFonts w:ascii="Aptos" w:eastAsia="Aptos" w:hAnsi="Aptos" w:cs="Aptos"/>
                              <w:noProof/>
                              <w:color w:val="000000"/>
                              <w:sz w:val="20"/>
                              <w:szCs w:val="20"/>
                            </w:rPr>
                          </w:pPr>
                          <w:r w:rsidRPr="008633BE">
                            <w:rPr>
                              <w:rFonts w:ascii="Aptos" w:eastAsia="Aptos" w:hAnsi="Aptos" w:cs="Aptos"/>
                              <w:noProof/>
                              <w:color w:val="000000"/>
                              <w:sz w:val="20"/>
                              <w:szCs w:val="20"/>
                            </w:rPr>
                            <w:t>Interno</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3D902D4" id="_x0000_t202" coordsize="21600,21600" o:spt="202" path="m,l,21600r21600,l21600,xe">
              <v:stroke joinstyle="miter"/>
              <v:path gradientshapeok="t" o:connecttype="rect"/>
            </v:shapetype>
            <v:shape id="Cuadro de texto 2" o:spid="_x0000_s1026" type="#_x0000_t202" alt="Interno" style="position:absolute;left:0;text-align:left;margin-left:0;margin-top:0;width:50.95pt;height:27.2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" filled="f" stroked="f">
              <v:fill o:detectmouseclick="t"/>
              <v:textbox style="mso-fit-shape-to-text:t" inset="20pt,15pt,0,0">
                <w:txbxContent>
                  <w:p w14:paraId="7452A2CF" w14:textId="213CCF12" w:rsidR="008633BE" w:rsidRPr="008633BE" w:rsidRDefault="008633BE" w:rsidP="008633BE">
                    <w:pPr>
                      <w:spacing w:after="0"/>
                      <w:rPr>
                        <w:rFonts w:ascii="Aptos" w:eastAsia="Aptos" w:hAnsi="Aptos" w:cs="Aptos"/>
                        <w:noProof/>
                        <w:color w:val="000000"/>
                        <w:sz w:val="20"/>
                        <w:szCs w:val="20"/>
                      </w:rPr>
                    </w:pPr>
                    <w:r w:rsidRPr="008633BE">
                      <w:rPr>
                        <w:rFonts w:ascii="Aptos" w:eastAsia="Aptos" w:hAnsi="Aptos" w:cs="Aptos"/>
                        <w:noProof/>
                        <w:color w:val="000000"/>
                        <w:sz w:val="20"/>
                        <w:szCs w:val="20"/>
                      </w:rPr>
                      <w:t>Interno</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484EC" w14:textId="61952945" w:rsidR="008633BE" w:rsidRDefault="008633BE">
    <w:pPr>
      <w:pStyle w:val="Encabezado"/>
    </w:pPr>
    <w:r>
      <w:rPr>
        <w:noProof/>
      </w:rPr>
      <mc:AlternateContent>
        <mc:Choice Requires="wps">
          <w:drawing>
            <wp:anchor distT="0" distB="0" distL="0" distR="0" simplePos="0" relativeHeight="251660288" behindDoc="0" locked="0" layoutInCell="1" allowOverlap="1" wp14:anchorId="325D3800" wp14:editId="6EF61FAD">
              <wp:simplePos x="635" y="635"/>
              <wp:positionH relativeFrom="page">
                <wp:align>left</wp:align>
              </wp:positionH>
              <wp:positionV relativeFrom="page">
                <wp:align>top</wp:align>
              </wp:positionV>
              <wp:extent cx="647065" cy="345440"/>
              <wp:effectExtent l="0" t="0" r="635" b="16510"/>
              <wp:wrapNone/>
              <wp:docPr id="1304553286" name="Cuadro de texto 3" descr="Intern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47065" cy="345440"/>
                      </a:xfrm>
                      <a:prstGeom prst="rect">
                        <a:avLst/>
                      </a:prstGeom>
                      <a:noFill/>
                      <a:ln>
                        <a:noFill/>
                      </a:ln>
                    </wps:spPr>
                    <wps:txbx>
                      <w:txbxContent>
                        <w:p w14:paraId="55F67564" w14:textId="6B025212" w:rsidR="008633BE" w:rsidRPr="008633BE" w:rsidRDefault="008633BE" w:rsidP="008633BE">
                          <w:pPr>
                            <w:spacing w:after="0"/>
                            <w:rPr>
                              <w:rFonts w:ascii="Aptos" w:eastAsia="Aptos" w:hAnsi="Aptos" w:cs="Aptos"/>
                              <w:noProof/>
                              <w:color w:val="000000"/>
                              <w:sz w:val="20"/>
                              <w:szCs w:val="20"/>
                            </w:rPr>
                          </w:pPr>
                          <w:r w:rsidRPr="008633BE">
                            <w:rPr>
                              <w:rFonts w:ascii="Aptos" w:eastAsia="Aptos" w:hAnsi="Aptos" w:cs="Aptos"/>
                              <w:noProof/>
                              <w:color w:val="000000"/>
                              <w:sz w:val="20"/>
                              <w:szCs w:val="20"/>
                            </w:rPr>
                            <w:t>Interno</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25D3800" id="_x0000_t202" coordsize="21600,21600" o:spt="202" path="m,l,21600r21600,l21600,xe">
              <v:stroke joinstyle="miter"/>
              <v:path gradientshapeok="t" o:connecttype="rect"/>
            </v:shapetype>
            <v:shape id="Cuadro de texto 3" o:spid="_x0000_s1027" type="#_x0000_t202" alt="Interno" style="position:absolute;left:0;text-align:left;margin-left:0;margin-top:0;width:50.95pt;height:27.2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" filled="f" stroked="f">
              <v:fill o:detectmouseclick="t"/>
              <v:textbox style="mso-fit-shape-to-text:t" inset="20pt,15pt,0,0">
                <w:txbxContent>
                  <w:p w14:paraId="55F67564" w14:textId="6B025212" w:rsidR="008633BE" w:rsidRPr="008633BE" w:rsidRDefault="008633BE" w:rsidP="008633BE">
                    <w:pPr>
                      <w:spacing w:after="0"/>
                      <w:rPr>
                        <w:rFonts w:ascii="Aptos" w:eastAsia="Aptos" w:hAnsi="Aptos" w:cs="Aptos"/>
                        <w:noProof/>
                        <w:color w:val="000000"/>
                        <w:sz w:val="20"/>
                        <w:szCs w:val="20"/>
                      </w:rPr>
                    </w:pPr>
                    <w:r w:rsidRPr="008633BE">
                      <w:rPr>
                        <w:rFonts w:ascii="Aptos" w:eastAsia="Aptos" w:hAnsi="Aptos" w:cs="Aptos"/>
                        <w:noProof/>
                        <w:color w:val="000000"/>
                        <w:sz w:val="20"/>
                        <w:szCs w:val="20"/>
                      </w:rPr>
                      <w:t>Interno</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E45B6" w14:textId="3A725AA1" w:rsidR="008633BE" w:rsidRDefault="008633BE">
    <w:pPr>
      <w:pStyle w:val="Encabezado"/>
    </w:pPr>
    <w:r>
      <w:rPr>
        <w:noProof/>
      </w:rPr>
      <mc:AlternateContent>
        <mc:Choice Requires="wps">
          <w:drawing>
            <wp:anchor distT="0" distB="0" distL="0" distR="0" simplePos="0" relativeHeight="251658240" behindDoc="0" locked="0" layoutInCell="1" allowOverlap="1" wp14:anchorId="500BA7D5" wp14:editId="73D7D911">
              <wp:simplePos x="635" y="635"/>
              <wp:positionH relativeFrom="page">
                <wp:align>left</wp:align>
              </wp:positionH>
              <wp:positionV relativeFrom="page">
                <wp:align>top</wp:align>
              </wp:positionV>
              <wp:extent cx="647065" cy="345440"/>
              <wp:effectExtent l="0" t="0" r="635" b="16510"/>
              <wp:wrapNone/>
              <wp:docPr id="1624687455" name="Cuadro de texto 1" descr="Intern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47065" cy="345440"/>
                      </a:xfrm>
                      <a:prstGeom prst="rect">
                        <a:avLst/>
                      </a:prstGeom>
                      <a:noFill/>
                      <a:ln>
                        <a:noFill/>
                      </a:ln>
                    </wps:spPr>
                    <wps:txbx>
                      <w:txbxContent>
                        <w:p w14:paraId="38626D13" w14:textId="32FF5123" w:rsidR="008633BE" w:rsidRPr="008633BE" w:rsidRDefault="008633BE" w:rsidP="008633BE">
                          <w:pPr>
                            <w:spacing w:after="0"/>
                            <w:rPr>
                              <w:rFonts w:ascii="Aptos" w:eastAsia="Aptos" w:hAnsi="Aptos" w:cs="Aptos"/>
                              <w:noProof/>
                              <w:color w:val="000000"/>
                              <w:sz w:val="20"/>
                              <w:szCs w:val="20"/>
                            </w:rPr>
                          </w:pPr>
                          <w:r w:rsidRPr="008633BE">
                            <w:rPr>
                              <w:rFonts w:ascii="Aptos" w:eastAsia="Aptos" w:hAnsi="Aptos" w:cs="Aptos"/>
                              <w:noProof/>
                              <w:color w:val="000000"/>
                              <w:sz w:val="20"/>
                              <w:szCs w:val="20"/>
                            </w:rPr>
                            <w:t>Interno</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00BA7D5" id="_x0000_t202" coordsize="21600,21600" o:spt="202" path="m,l,21600r21600,l21600,xe">
              <v:stroke joinstyle="miter"/>
              <v:path gradientshapeok="t" o:connecttype="rect"/>
            </v:shapetype>
            <v:shape id="Cuadro de texto 1" o:spid="_x0000_s1030" type="#_x0000_t202" alt="Interno" style="position:absolute;left:0;text-align:left;margin-left:0;margin-top:0;width:50.95pt;height:27.2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" filled="f" stroked="f">
              <v:fill o:detectmouseclick="t"/>
              <v:textbox style="mso-fit-shape-to-text:t" inset="20pt,15pt,0,0">
                <w:txbxContent>
                  <w:p w14:paraId="38626D13" w14:textId="32FF5123" w:rsidR="008633BE" w:rsidRPr="008633BE" w:rsidRDefault="008633BE" w:rsidP="008633BE">
                    <w:pPr>
                      <w:spacing w:after="0"/>
                      <w:rPr>
                        <w:rFonts w:ascii="Aptos" w:eastAsia="Aptos" w:hAnsi="Aptos" w:cs="Aptos"/>
                        <w:noProof/>
                        <w:color w:val="000000"/>
                        <w:sz w:val="20"/>
                        <w:szCs w:val="20"/>
                      </w:rPr>
                    </w:pPr>
                    <w:r w:rsidRPr="008633BE">
                      <w:rPr>
                        <w:rFonts w:ascii="Aptos" w:eastAsia="Aptos" w:hAnsi="Aptos" w:cs="Aptos"/>
                        <w:noProof/>
                        <w:color w:val="000000"/>
                        <w:sz w:val="20"/>
                        <w:szCs w:val="20"/>
                      </w:rPr>
                      <w:t>Interno</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4426F8"/>
    <w:multiLevelType w:val="multilevel"/>
    <w:tmpl w:val="5B067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4193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5C8"/>
    <w:rsid w:val="0024500C"/>
    <w:rsid w:val="00424EC8"/>
    <w:rsid w:val="004865C8"/>
    <w:rsid w:val="0066612C"/>
    <w:rsid w:val="00726C0F"/>
    <w:rsid w:val="007F0458"/>
    <w:rsid w:val="00842E35"/>
    <w:rsid w:val="008633BE"/>
    <w:rsid w:val="00882E18"/>
    <w:rsid w:val="0094302E"/>
    <w:rsid w:val="00984B22"/>
    <w:rsid w:val="00A017AC"/>
    <w:rsid w:val="00A02288"/>
    <w:rsid w:val="00A51573"/>
    <w:rsid w:val="00C11D0F"/>
    <w:rsid w:val="00CF3E87"/>
    <w:rsid w:val="00E30E56"/>
    <w:rsid w:val="00F07CD6"/>
    <w:rsid w:val="00F8342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DB002"/>
  <w15:chartTrackingRefBased/>
  <w15:docId w15:val="{BE1D55B7-FCEE-41A9-A816-D03CF8108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next w:val="Normal"/>
    <w:link w:val="Ttulo1Car"/>
    <w:uiPriority w:val="9"/>
    <w:qFormat/>
    <w:rsid w:val="004865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865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865C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4865C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865C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865C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865C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865C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865C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865C8"/>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rsid w:val="004865C8"/>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rsid w:val="004865C8"/>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rsid w:val="004865C8"/>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4865C8"/>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4865C8"/>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4865C8"/>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4865C8"/>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4865C8"/>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4865C8"/>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865C8"/>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4865C8"/>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865C8"/>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4865C8"/>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4865C8"/>
    <w:rPr>
      <w:i/>
      <w:iCs/>
      <w:color w:val="404040" w:themeColor="text1" w:themeTint="BF"/>
      <w:lang w:val="es-ES_tradnl"/>
    </w:rPr>
  </w:style>
  <w:style w:type="paragraph" w:styleId="Prrafodelista">
    <w:name w:val="List Paragraph"/>
    <w:basedOn w:val="Normal"/>
    <w:uiPriority w:val="34"/>
    <w:qFormat/>
    <w:rsid w:val="004865C8"/>
    <w:pPr>
      <w:ind w:left="720"/>
      <w:contextualSpacing/>
    </w:pPr>
  </w:style>
  <w:style w:type="character" w:styleId="nfasisintenso">
    <w:name w:val="Intense Emphasis"/>
    <w:basedOn w:val="Fuentedeprrafopredeter"/>
    <w:uiPriority w:val="21"/>
    <w:qFormat/>
    <w:rsid w:val="004865C8"/>
    <w:rPr>
      <w:i/>
      <w:iCs/>
      <w:color w:val="0F4761" w:themeColor="accent1" w:themeShade="BF"/>
    </w:rPr>
  </w:style>
  <w:style w:type="paragraph" w:styleId="Citadestacada">
    <w:name w:val="Intense Quote"/>
    <w:basedOn w:val="Normal"/>
    <w:next w:val="Normal"/>
    <w:link w:val="CitadestacadaCar"/>
    <w:uiPriority w:val="30"/>
    <w:qFormat/>
    <w:rsid w:val="004865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865C8"/>
    <w:rPr>
      <w:i/>
      <w:iCs/>
      <w:color w:val="0F4761" w:themeColor="accent1" w:themeShade="BF"/>
      <w:lang w:val="es-ES_tradnl"/>
    </w:rPr>
  </w:style>
  <w:style w:type="character" w:styleId="Referenciaintensa">
    <w:name w:val="Intense Reference"/>
    <w:basedOn w:val="Fuentedeprrafopredeter"/>
    <w:uiPriority w:val="32"/>
    <w:qFormat/>
    <w:rsid w:val="004865C8"/>
    <w:rPr>
      <w:b/>
      <w:bCs/>
      <w:smallCaps/>
      <w:color w:val="0F4761" w:themeColor="accent1" w:themeShade="BF"/>
      <w:spacing w:val="5"/>
    </w:rPr>
  </w:style>
  <w:style w:type="paragraph" w:styleId="Encabezado">
    <w:name w:val="header"/>
    <w:basedOn w:val="Normal"/>
    <w:link w:val="EncabezadoCar"/>
    <w:uiPriority w:val="99"/>
    <w:unhideWhenUsed/>
    <w:rsid w:val="008633BE"/>
    <w:pPr>
      <w:tabs>
        <w:tab w:val="center" w:pos="4252"/>
        <w:tab w:val="right" w:pos="8504"/>
      </w:tabs>
      <w:spacing w:after="0"/>
    </w:pPr>
  </w:style>
  <w:style w:type="character" w:customStyle="1" w:styleId="EncabezadoCar">
    <w:name w:val="Encabezado Car"/>
    <w:basedOn w:val="Fuentedeprrafopredeter"/>
    <w:link w:val="Encabezado"/>
    <w:uiPriority w:val="99"/>
    <w:rsid w:val="008633BE"/>
    <w:rPr>
      <w:lang w:val="es-ES_tradnl"/>
    </w:rPr>
  </w:style>
  <w:style w:type="paragraph" w:styleId="Piedepgina">
    <w:name w:val="footer"/>
    <w:basedOn w:val="Normal"/>
    <w:link w:val="PiedepginaCar"/>
    <w:uiPriority w:val="99"/>
    <w:unhideWhenUsed/>
    <w:rsid w:val="008633BE"/>
    <w:pPr>
      <w:tabs>
        <w:tab w:val="center" w:pos="4252"/>
        <w:tab w:val="right" w:pos="8504"/>
      </w:tabs>
      <w:spacing w:after="0"/>
    </w:pPr>
  </w:style>
  <w:style w:type="character" w:customStyle="1" w:styleId="PiedepginaCar">
    <w:name w:val="Pie de página Car"/>
    <w:basedOn w:val="Fuentedeprrafopredeter"/>
    <w:link w:val="Piedepgina"/>
    <w:uiPriority w:val="99"/>
    <w:rsid w:val="008633BE"/>
    <w:rPr>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425226">
      <w:bodyDiv w:val="1"/>
      <w:marLeft w:val="0"/>
      <w:marRight w:val="0"/>
      <w:marTop w:val="0"/>
      <w:marBottom w:val="0"/>
      <w:divBdr>
        <w:top w:val="none" w:sz="0" w:space="0" w:color="auto"/>
        <w:left w:val="none" w:sz="0" w:space="0" w:color="auto"/>
        <w:bottom w:val="none" w:sz="0" w:space="0" w:color="auto"/>
        <w:right w:val="none" w:sz="0" w:space="0" w:color="auto"/>
      </w:divBdr>
      <w:divsChild>
        <w:div w:id="2006976683">
          <w:marLeft w:val="0"/>
          <w:marRight w:val="0"/>
          <w:marTop w:val="0"/>
          <w:marBottom w:val="0"/>
          <w:divBdr>
            <w:top w:val="none" w:sz="0" w:space="0" w:color="242424"/>
            <w:left w:val="none" w:sz="0" w:space="0" w:color="242424"/>
            <w:bottom w:val="none" w:sz="0" w:space="0" w:color="242424"/>
            <w:right w:val="none" w:sz="0" w:space="0" w:color="242424"/>
          </w:divBdr>
        </w:div>
      </w:divsChild>
    </w:div>
    <w:div w:id="457453322">
      <w:bodyDiv w:val="1"/>
      <w:marLeft w:val="0"/>
      <w:marRight w:val="0"/>
      <w:marTop w:val="0"/>
      <w:marBottom w:val="0"/>
      <w:divBdr>
        <w:top w:val="none" w:sz="0" w:space="0" w:color="auto"/>
        <w:left w:val="none" w:sz="0" w:space="0" w:color="auto"/>
        <w:bottom w:val="none" w:sz="0" w:space="0" w:color="auto"/>
        <w:right w:val="none" w:sz="0" w:space="0" w:color="auto"/>
      </w:divBdr>
      <w:divsChild>
        <w:div w:id="2131512469">
          <w:marLeft w:val="0"/>
          <w:marRight w:val="0"/>
          <w:marTop w:val="0"/>
          <w:marBottom w:val="0"/>
          <w:divBdr>
            <w:top w:val="none" w:sz="0" w:space="0" w:color="242424"/>
            <w:left w:val="none" w:sz="0" w:space="0" w:color="242424"/>
            <w:bottom w:val="none" w:sz="0" w:space="0" w:color="242424"/>
            <w:right w:val="none" w:sz="0" w:space="0" w:color="242424"/>
          </w:divBdr>
        </w:div>
      </w:divsChild>
    </w:div>
    <w:div w:id="893539294">
      <w:bodyDiv w:val="1"/>
      <w:marLeft w:val="0"/>
      <w:marRight w:val="0"/>
      <w:marTop w:val="0"/>
      <w:marBottom w:val="0"/>
      <w:divBdr>
        <w:top w:val="none" w:sz="0" w:space="0" w:color="auto"/>
        <w:left w:val="none" w:sz="0" w:space="0" w:color="auto"/>
        <w:bottom w:val="none" w:sz="0" w:space="0" w:color="auto"/>
        <w:right w:val="none" w:sz="0" w:space="0" w:color="auto"/>
      </w:divBdr>
    </w:div>
    <w:div w:id="1778017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68942D5D55AD54889B97A5804CC7CB7" ma:contentTypeVersion="10" ma:contentTypeDescription="Crear nuevo documento." ma:contentTypeScope="" ma:versionID="c8da3c6f6701a270f2ad32dc4b39d5dc">
  <xsd:schema xmlns:xsd="http://www.w3.org/2001/XMLSchema" xmlns:xs="http://www.w3.org/2001/XMLSchema" xmlns:p="http://schemas.microsoft.com/office/2006/metadata/properties" xmlns:ns2="403c840e-fe4b-4cab-81e0-53fe22c61228" xmlns:ns3="13612990-49cb-4353-8a68-985d58aaefb8" targetNamespace="http://schemas.microsoft.com/office/2006/metadata/properties" ma:root="true" ma:fieldsID="7926c3e6ec4334a3520cb0afaca33c56" ns2:_="" ns3:_="">
    <xsd:import namespace="403c840e-fe4b-4cab-81e0-53fe22c61228"/>
    <xsd:import namespace="13612990-49cb-4353-8a68-985d58aaefb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3c840e-fe4b-4cab-81e0-53fe22c612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3612990-49cb-4353-8a68-985d58aaefb8"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466C10-FD82-4A2F-A547-00AD3490D0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3c840e-fe4b-4cab-81e0-53fe22c61228"/>
    <ds:schemaRef ds:uri="13612990-49cb-4353-8a68-985d58aaef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6C3FD24-C4E4-4373-8398-209A039AA552}">
  <ds:schemaRefs>
    <ds:schemaRef ds:uri="403c840e-fe4b-4cab-81e0-53fe22c61228"/>
    <ds:schemaRef ds:uri="http://schemas.microsoft.com/office/2006/documentManagement/types"/>
    <ds:schemaRef ds:uri="13612990-49cb-4353-8a68-985d58aaefb8"/>
    <ds:schemaRef ds:uri="http://purl.org/dc/terms/"/>
    <ds:schemaRef ds:uri="http://purl.org/dc/dcmitype/"/>
    <ds:schemaRef ds:uri="http://schemas.microsoft.com/office/2006/metadata/properties"/>
    <ds:schemaRef ds:uri="http://schemas.microsoft.com/office/infopath/2007/PartnerControls"/>
    <ds:schemaRef ds:uri="http://schemas.openxmlformats.org/package/2006/metadata/core-properties"/>
    <ds:schemaRef ds:uri="http://www.w3.org/XML/1998/namespace"/>
    <ds:schemaRef ds:uri="http://purl.org/dc/elements/1.1/"/>
  </ds:schemaRefs>
</ds:datastoreItem>
</file>

<file path=customXml/itemProps3.xml><?xml version="1.0" encoding="utf-8"?>
<ds:datastoreItem xmlns:ds="http://schemas.openxmlformats.org/officeDocument/2006/customXml" ds:itemID="{1FF1CE78-1197-48BA-A2E2-6075263FBC43}">
  <ds:schemaRefs>
    <ds:schemaRef ds:uri="http://schemas.microsoft.com/sharepoint/v3/contenttype/forms"/>
  </ds:schemaRefs>
</ds:datastoreItem>
</file>

<file path=docMetadata/LabelInfo.xml><?xml version="1.0" encoding="utf-8"?>
<clbl:labelList xmlns:clbl="http://schemas.microsoft.com/office/2020/mipLabelMetadata">
  <clbl:label id="{83661b87-7810-4813-8bd9-dd2ee6a65052}" enabled="1" method="Standard" siteId="{223943b3-0f38-442c-90e3-00f9c3b6b43b}" contentBits="3"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6</Pages>
  <Words>3123</Words>
  <Characters>17275</Characters>
  <Application>Microsoft Office Word</Application>
  <DocSecurity>0</DocSecurity>
  <Lines>265</Lines>
  <Paragraphs>70</Paragraphs>
  <ScaleCrop>false</ScaleCrop>
  <Company/>
  <LinksUpToDate>false</LinksUpToDate>
  <CharactersWithSpaces>20328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ENRIQUE CID CALERO</dc:creator>
  <cp:keywords/>
  <dc:description/>
  <cp:lastModifiedBy>ENRIQUE CID CALERO</cp:lastModifiedBy>
  <cp:revision>2</cp:revision>
  <dcterms:created xsi:type="dcterms:W3CDTF">2026-02-24T12:38:00Z</dcterms:created>
  <dcterms:modified xsi:type="dcterms:W3CDTF">2026-02-24T12:38:00Z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0x010100668942D5D55AD54889B97A5804CC7CB7</vt:lpwstr>
  </property>
  <property fmtid="{D5CDD505-2E9C-101B-9397-08002B2CF9AE}" pid="3" name="ClassificationContentMarkingHeaderShapeIds">
    <vt:lpwstr>60d6c35f,6896cbd3,4dc1e746</vt:lpwstr>
  </property>
  <property fmtid="{D5CDD505-2E9C-101B-9397-08002B2CF9AE}" pid="4" name="ClassificationContentMarkingHeaderFontProps">
    <vt:lpwstr>#000000,10,Aptos</vt:lpwstr>
  </property>
  <property fmtid="{D5CDD505-2E9C-101B-9397-08002B2CF9AE}" pid="5" name="ClassificationContentMarkingHeaderText">
    <vt:lpwstr>Interno</vt:lpwstr>
  </property>
  <property fmtid="{D5CDD505-2E9C-101B-9397-08002B2CF9AE}" pid="6" name="ClassificationContentMarkingFooterShapeIds">
    <vt:lpwstr>1c900ba1,463c4a3e,74961f9</vt:lpwstr>
  </property>
  <property fmtid="{D5CDD505-2E9C-101B-9397-08002B2CF9AE}" pid="7" name="ClassificationContentMarkingFooterFontProps">
    <vt:lpwstr>#000000,8,Aptos</vt:lpwstr>
  </property>
  <property fmtid="{D5CDD505-2E9C-101B-9397-08002B2CF9AE}" pid="8" name="ClassificationContentMarkingFooterText">
    <vt:lpwstr>Uso Interno - No compartir fuera de la organización.</vt:lpwstr>
  </property>
</Properties>
</file>