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BF4A" w14:textId="1E25FE69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Segoe UI Emoji" w:hAnsi="Segoe UI Emoji" w:cs="Segoe UI Emoji"/>
          <w:b/>
          <w:bCs/>
          <w:sz w:val="20"/>
          <w:szCs w:val="20"/>
          <w:lang w:val="es-ES"/>
        </w:rPr>
        <w:t>📌</w:t>
      </w:r>
      <w:r w:rsidRPr="00EF65BF">
        <w:rPr>
          <w:rFonts w:ascii="Arial" w:hAnsi="Arial" w:cs="Arial"/>
          <w:b/>
          <w:bCs/>
          <w:sz w:val="20"/>
          <w:szCs w:val="20"/>
          <w:lang w:val="es-ES"/>
        </w:rPr>
        <w:t xml:space="preserve"> Proceso funcional a evaluar:</w:t>
      </w:r>
      <w:r w:rsidR="00EF65BF" w:rsidRPr="00EF65BF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EF65BF">
        <w:rPr>
          <w:rFonts w:ascii="Arial" w:hAnsi="Arial" w:cs="Arial"/>
          <w:b/>
          <w:bCs/>
          <w:sz w:val="20"/>
          <w:szCs w:val="20"/>
          <w:lang w:val="es-ES"/>
        </w:rPr>
        <w:t>Gestión de Incentivos Mensuales</w:t>
      </w:r>
    </w:p>
    <w:p w14:paraId="57C32C15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Segoe UI Emoji" w:hAnsi="Segoe UI Emoji" w:cs="Segoe UI Emoji"/>
          <w:b/>
          <w:bCs/>
          <w:sz w:val="20"/>
          <w:szCs w:val="20"/>
          <w:lang w:val="es-ES"/>
        </w:rPr>
        <w:t>🧭</w:t>
      </w:r>
      <w:r w:rsidRPr="00EF65BF">
        <w:rPr>
          <w:rFonts w:ascii="Arial" w:hAnsi="Arial" w:cs="Arial"/>
          <w:b/>
          <w:bCs/>
          <w:sz w:val="20"/>
          <w:szCs w:val="20"/>
          <w:lang w:val="es-ES"/>
        </w:rPr>
        <w:t xml:space="preserve"> Descripción general del proceso</w:t>
      </w:r>
    </w:p>
    <w:p w14:paraId="757F164A" w14:textId="5103609C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El proceso de incentivos mensuales se estructura en tres subprocesos funcionales que se ejecutan en cadena en diferentes periodos del mes:</w:t>
      </w:r>
    </w:p>
    <w:p w14:paraId="27870DF8" w14:textId="7832A8D6" w:rsidR="0049401A" w:rsidRPr="00EF65BF" w:rsidRDefault="0049401A" w:rsidP="0049401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Convocatoria del Plan de Incentivos: consiste en la creación, mantenimiento y configuración de los planes mensuales por área y colectivo, incluyendo sus reglas, excepciones, responsables de aprobación y documentación asociada.</w:t>
      </w:r>
    </w:p>
    <w:p w14:paraId="032FAAF4" w14:textId="77777777" w:rsidR="0049401A" w:rsidRPr="00EF65BF" w:rsidRDefault="0049401A" w:rsidP="0049401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Consecución de Incentivos: carga y validación de los resultados alcanzados por cada empleado, en función de los objetivos definidos en el plan. Este proceso permite modificar datos, aprobar consecuciones individual o masivamente, y mantener la trazabilidad de los indicadores cargados.</w:t>
      </w:r>
    </w:p>
    <w:p w14:paraId="56BE0D89" w14:textId="77777777" w:rsidR="0049401A" w:rsidRPr="00EF65BF" w:rsidRDefault="0049401A" w:rsidP="0049401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Remesas a Compensación: una vez cerradas las consecuciones, se genera una remesa con el resumen de importes finales a abonar por empleado. Esta remesa se valida internamente y se traslada a la herramienta de nómina para su procesamiento. En caso de errores, pueden realizarse correcciones creando nuevas fichas o remesas alternativas.</w:t>
      </w:r>
    </w:p>
    <w:p w14:paraId="541A11C5" w14:textId="2A1E9DDA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Este proceso se gestiona íntegramente desde </w:t>
      </w:r>
      <w:r w:rsidR="001C1DAC" w:rsidRPr="00EF65BF">
        <w:rPr>
          <w:rFonts w:ascii="Arial" w:hAnsi="Arial" w:cs="Arial"/>
          <w:sz w:val="20"/>
          <w:szCs w:val="20"/>
          <w:lang w:val="es-ES"/>
        </w:rPr>
        <w:t>las areas de negocio (</w:t>
      </w:r>
      <w:r w:rsidR="0034223A" w:rsidRPr="00EF65BF">
        <w:rPr>
          <w:rFonts w:ascii="Arial" w:hAnsi="Arial" w:cs="Arial"/>
          <w:sz w:val="20"/>
          <w:szCs w:val="20"/>
          <w:lang w:val="es-ES"/>
        </w:rPr>
        <w:t>Planificación e Incentivos)</w:t>
      </w:r>
      <w:r w:rsidRPr="00EF65BF">
        <w:rPr>
          <w:rFonts w:ascii="Arial" w:hAnsi="Arial" w:cs="Arial"/>
          <w:sz w:val="20"/>
          <w:szCs w:val="20"/>
          <w:lang w:val="es-ES"/>
        </w:rPr>
        <w:t>, con una fuerte componente administrativa, y requiere flexibilidad tanto en la definición como en el seguimiento de planes, consecuciones y pagos asociados.</w:t>
      </w:r>
    </w:p>
    <w:p w14:paraId="07288A9C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Segoe UI Emoji" w:hAnsi="Segoe UI Emoji" w:cs="Segoe UI Emoji"/>
          <w:b/>
          <w:bCs/>
          <w:sz w:val="20"/>
          <w:szCs w:val="20"/>
          <w:lang w:val="es-ES"/>
        </w:rPr>
        <w:t>🎯</w:t>
      </w:r>
      <w:r w:rsidRPr="00EF65BF">
        <w:rPr>
          <w:rFonts w:ascii="Arial" w:hAnsi="Arial" w:cs="Arial"/>
          <w:b/>
          <w:bCs/>
          <w:sz w:val="20"/>
          <w:szCs w:val="20"/>
          <w:lang w:val="es-ES"/>
        </w:rPr>
        <w:t xml:space="preserve"> Requisitos funcionales clave</w:t>
      </w:r>
    </w:p>
    <w:p w14:paraId="395A468F" w14:textId="230DAFB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Los proveedores deberán indicar si su solución permite cubrir, de forma estándar o mediante desarrollo</w:t>
      </w:r>
      <w:r w:rsidR="0034223A" w:rsidRPr="00EF65BF">
        <w:rPr>
          <w:rFonts w:ascii="Arial" w:hAnsi="Arial" w:cs="Arial"/>
          <w:sz w:val="20"/>
          <w:szCs w:val="20"/>
          <w:lang w:val="es-ES"/>
        </w:rPr>
        <w:t xml:space="preserve"> a medida</w:t>
      </w:r>
      <w:r w:rsidRPr="00EF65BF">
        <w:rPr>
          <w:rFonts w:ascii="Arial" w:hAnsi="Arial" w:cs="Arial"/>
          <w:sz w:val="20"/>
          <w:szCs w:val="20"/>
          <w:lang w:val="es-ES"/>
        </w:rPr>
        <w:t>, los siguientes requisitos para cada subproceso:</w:t>
      </w:r>
    </w:p>
    <w:p w14:paraId="5751A527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b/>
          <w:bCs/>
          <w:sz w:val="20"/>
          <w:szCs w:val="20"/>
          <w:lang w:val="es-ES"/>
        </w:rPr>
        <w:t>1. Convocatoria del plan</w:t>
      </w:r>
    </w:p>
    <w:p w14:paraId="7239B4C3" w14:textId="77777777" w:rsidR="0049401A" w:rsidRPr="00EF65BF" w:rsidRDefault="0049401A" w:rsidP="0049401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Creación de planes mensuales por área con descripción, fechas y aprobador asignado.</w:t>
      </w:r>
    </w:p>
    <w:p w14:paraId="2AD896C0" w14:textId="178A4E69" w:rsidR="0049401A" w:rsidRPr="00EF65BF" w:rsidRDefault="0049401A" w:rsidP="0049401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Definición de reglas </w:t>
      </w:r>
      <w:r w:rsidR="00C62EB7" w:rsidRPr="00EF65BF">
        <w:rPr>
          <w:rFonts w:ascii="Arial" w:hAnsi="Arial" w:cs="Arial"/>
          <w:sz w:val="20"/>
          <w:szCs w:val="20"/>
          <w:lang w:val="es-ES"/>
        </w:rPr>
        <w:t xml:space="preserve">de asignación de plan automático </w:t>
      </w:r>
      <w:r w:rsidRPr="00EF65BF">
        <w:rPr>
          <w:rFonts w:ascii="Arial" w:hAnsi="Arial" w:cs="Arial"/>
          <w:sz w:val="20"/>
          <w:szCs w:val="20"/>
          <w:lang w:val="es-ES"/>
        </w:rPr>
        <w:t>por puesto</w:t>
      </w:r>
      <w:r w:rsidR="00F80255" w:rsidRPr="00EF65BF">
        <w:rPr>
          <w:rFonts w:ascii="Arial" w:hAnsi="Arial" w:cs="Arial"/>
          <w:sz w:val="20"/>
          <w:szCs w:val="20"/>
          <w:lang w:val="es-ES"/>
        </w:rPr>
        <w:t>/posicion</w:t>
      </w:r>
      <w:r w:rsidRPr="00EF65BF">
        <w:rPr>
          <w:rFonts w:ascii="Arial" w:hAnsi="Arial" w:cs="Arial"/>
          <w:sz w:val="20"/>
          <w:szCs w:val="20"/>
          <w:lang w:val="es-ES"/>
        </w:rPr>
        <w:t>, departamento.</w:t>
      </w:r>
    </w:p>
    <w:p w14:paraId="521C0B9B" w14:textId="37F0A387" w:rsidR="0049401A" w:rsidRPr="00EF65BF" w:rsidRDefault="0049401A" w:rsidP="0049401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Asignación de excepciones por persona (cuando aplica un plan distinto al que le correspondería por </w:t>
      </w:r>
      <w:r w:rsidR="00F80255" w:rsidRPr="00EF65BF">
        <w:rPr>
          <w:rFonts w:ascii="Arial" w:hAnsi="Arial" w:cs="Arial"/>
          <w:sz w:val="20"/>
          <w:szCs w:val="20"/>
          <w:lang w:val="es-ES"/>
        </w:rPr>
        <w:t xml:space="preserve">regla </w:t>
      </w:r>
      <w:r w:rsidR="00A9784B" w:rsidRPr="00EF65BF">
        <w:rPr>
          <w:rFonts w:ascii="Arial" w:hAnsi="Arial" w:cs="Arial"/>
          <w:sz w:val="20"/>
          <w:szCs w:val="20"/>
          <w:lang w:val="es-ES"/>
        </w:rPr>
        <w:t>automática</w:t>
      </w:r>
      <w:r w:rsidRPr="00EF65BF">
        <w:rPr>
          <w:rFonts w:ascii="Arial" w:hAnsi="Arial" w:cs="Arial"/>
          <w:sz w:val="20"/>
          <w:szCs w:val="20"/>
          <w:lang w:val="es-ES"/>
        </w:rPr>
        <w:t>).</w:t>
      </w:r>
    </w:p>
    <w:p w14:paraId="6332E2A2" w14:textId="77777777" w:rsidR="00626412" w:rsidRPr="00EF65BF" w:rsidRDefault="0049401A" w:rsidP="0049401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Consulta de empleados</w:t>
      </w:r>
      <w:r w:rsidR="00626412" w:rsidRPr="00EF65BF">
        <w:rPr>
          <w:rFonts w:ascii="Arial" w:hAnsi="Arial" w:cs="Arial"/>
          <w:sz w:val="20"/>
          <w:szCs w:val="20"/>
          <w:lang w:val="es-ES"/>
        </w:rPr>
        <w:t xml:space="preserve"> para controles internos:</w:t>
      </w:r>
    </w:p>
    <w:p w14:paraId="13C65894" w14:textId="77777777" w:rsidR="00272CBE" w:rsidRPr="00EF65BF" w:rsidRDefault="00626412" w:rsidP="0062641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Agentes </w:t>
      </w:r>
      <w:r w:rsidR="0049401A" w:rsidRPr="00EF65BF">
        <w:rPr>
          <w:rFonts w:ascii="Arial" w:hAnsi="Arial" w:cs="Arial"/>
          <w:sz w:val="20"/>
          <w:szCs w:val="20"/>
          <w:lang w:val="es-ES"/>
        </w:rPr>
        <w:t xml:space="preserve">sin plan asignado </w:t>
      </w:r>
    </w:p>
    <w:p w14:paraId="18F61A91" w14:textId="7AA9C650" w:rsidR="0049401A" w:rsidRPr="00EF65BF" w:rsidRDefault="00272CBE" w:rsidP="0062641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Agentes </w:t>
      </w:r>
      <w:r w:rsidR="0049401A" w:rsidRPr="00EF65BF">
        <w:rPr>
          <w:rFonts w:ascii="Arial" w:hAnsi="Arial" w:cs="Arial"/>
          <w:sz w:val="20"/>
          <w:szCs w:val="20"/>
          <w:lang w:val="es-ES"/>
        </w:rPr>
        <w:t>con planes múltiples</w:t>
      </w:r>
    </w:p>
    <w:p w14:paraId="05A14A94" w14:textId="2150B39C" w:rsidR="00272CBE" w:rsidRPr="00EF65BF" w:rsidRDefault="00272CBE" w:rsidP="0062641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Agentes con plan</w:t>
      </w:r>
    </w:p>
    <w:p w14:paraId="1D0522D5" w14:textId="47FAD2F9" w:rsidR="00272CBE" w:rsidRPr="00EF65BF" w:rsidRDefault="00272CBE" w:rsidP="0062641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Agentes con plan diferente al mes anterior</w:t>
      </w:r>
    </w:p>
    <w:p w14:paraId="505D9890" w14:textId="759F7F49" w:rsidR="00272CBE" w:rsidRPr="00EF65BF" w:rsidRDefault="00272CBE" w:rsidP="00272CBE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Posibilidad de cambio de plan asignado </w:t>
      </w:r>
      <w:r w:rsidR="008F0567" w:rsidRPr="00EF65BF">
        <w:rPr>
          <w:rFonts w:ascii="Arial" w:hAnsi="Arial" w:cs="Arial"/>
          <w:sz w:val="20"/>
          <w:szCs w:val="20"/>
          <w:lang w:val="es-ES"/>
        </w:rPr>
        <w:t>automáticamente a un empleado.</w:t>
      </w:r>
    </w:p>
    <w:p w14:paraId="3465FDAD" w14:textId="1E826494" w:rsidR="0049401A" w:rsidRPr="00EF65BF" w:rsidRDefault="0049401A" w:rsidP="0049401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Carga de documentación asociada (PDFs de planes)</w:t>
      </w:r>
      <w:r w:rsidR="00A9784B" w:rsidRPr="00EF65BF">
        <w:rPr>
          <w:rFonts w:ascii="Arial" w:hAnsi="Arial" w:cs="Arial"/>
          <w:sz w:val="20"/>
          <w:szCs w:val="20"/>
          <w:lang w:val="es-ES"/>
        </w:rPr>
        <w:t xml:space="preserve"> para </w:t>
      </w:r>
      <w:r w:rsidR="007225C0" w:rsidRPr="00EF65BF">
        <w:rPr>
          <w:rFonts w:ascii="Arial" w:hAnsi="Arial" w:cs="Arial"/>
          <w:sz w:val="20"/>
          <w:szCs w:val="20"/>
          <w:lang w:val="es-ES"/>
        </w:rPr>
        <w:t>visualización</w:t>
      </w:r>
      <w:r w:rsidR="00A9784B" w:rsidRPr="00EF65BF">
        <w:rPr>
          <w:rFonts w:ascii="Arial" w:hAnsi="Arial" w:cs="Arial"/>
          <w:sz w:val="20"/>
          <w:szCs w:val="20"/>
          <w:lang w:val="es-ES"/>
        </w:rPr>
        <w:t xml:space="preserve"> </w:t>
      </w:r>
      <w:r w:rsidR="007225C0" w:rsidRPr="00EF65BF">
        <w:rPr>
          <w:rFonts w:ascii="Arial" w:hAnsi="Arial" w:cs="Arial"/>
          <w:sz w:val="20"/>
          <w:szCs w:val="20"/>
          <w:lang w:val="es-ES"/>
        </w:rPr>
        <w:t>de las condiciones del plan asociado al empleado.</w:t>
      </w:r>
    </w:p>
    <w:p w14:paraId="47C196E3" w14:textId="77777777" w:rsidR="0049401A" w:rsidRPr="00EF65BF" w:rsidRDefault="0049401A" w:rsidP="00611BD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Flujo de aprobación (doble validación interna antes de hacer visible el plan).</w:t>
      </w:r>
    </w:p>
    <w:p w14:paraId="68C64F6A" w14:textId="77777777" w:rsidR="0049401A" w:rsidRPr="00EF65BF" w:rsidRDefault="0049401A" w:rsidP="0049401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Registro histórico por mes de reglas, excepciones y aprobadores.</w:t>
      </w:r>
    </w:p>
    <w:p w14:paraId="59B271D2" w14:textId="77777777" w:rsidR="008F0567" w:rsidRPr="00EF65BF" w:rsidRDefault="008F0567" w:rsidP="008F0567">
      <w:pPr>
        <w:ind w:left="720"/>
        <w:rPr>
          <w:rFonts w:ascii="Arial" w:hAnsi="Arial" w:cs="Arial"/>
          <w:sz w:val="20"/>
          <w:szCs w:val="20"/>
          <w:lang w:val="es-ES"/>
        </w:rPr>
      </w:pPr>
    </w:p>
    <w:p w14:paraId="1AE18441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b/>
          <w:bCs/>
          <w:sz w:val="20"/>
          <w:szCs w:val="20"/>
          <w:lang w:val="es-ES"/>
        </w:rPr>
        <w:t>2. Consecución de incentivos</w:t>
      </w:r>
    </w:p>
    <w:p w14:paraId="589B76EC" w14:textId="77777777" w:rsidR="0049401A" w:rsidRPr="00EF65BF" w:rsidRDefault="0049401A" w:rsidP="0049401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Carga de ficheros con resultados (indicadores alcanzados por empleado) con validación estructural y funcional.</w:t>
      </w:r>
    </w:p>
    <w:p w14:paraId="5F2E163F" w14:textId="77777777" w:rsidR="0049401A" w:rsidRPr="00EF65BF" w:rsidRDefault="0049401A" w:rsidP="0049401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Mapeo de campos obligatorios como ID de empleado, plan, fechas, tipo, manager, importe conseguido, importe preliminar y variables adicionales.</w:t>
      </w:r>
    </w:p>
    <w:p w14:paraId="061858EA" w14:textId="77777777" w:rsidR="0049401A" w:rsidRPr="00EF65BF" w:rsidRDefault="0049401A" w:rsidP="0049401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Asignación manual o automática del aprobador de la consecución.</w:t>
      </w:r>
    </w:p>
    <w:p w14:paraId="6F17BD4E" w14:textId="77777777" w:rsidR="0049401A" w:rsidRPr="00EF65BF" w:rsidRDefault="0049401A" w:rsidP="0049401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lastRenderedPageBreak/>
        <w:t>Corrección de errores de carga (eliminación, modificación y nueva subida del fichero).</w:t>
      </w:r>
    </w:p>
    <w:p w14:paraId="7CC6514B" w14:textId="77777777" w:rsidR="0049401A" w:rsidRPr="00EF65BF" w:rsidRDefault="0049401A" w:rsidP="0049401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Control de coherencia entre convocatoria y consecución (ej. empleados con plan no asignado).</w:t>
      </w:r>
    </w:p>
    <w:p w14:paraId="5F29A31B" w14:textId="77777777" w:rsidR="0049401A" w:rsidRPr="00EF65BF" w:rsidRDefault="0049401A" w:rsidP="0049401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Monitorización de ejecuciones y trazabilidad de procesos.</w:t>
      </w:r>
    </w:p>
    <w:p w14:paraId="5B631C32" w14:textId="77777777" w:rsidR="0049401A" w:rsidRPr="00EF65BF" w:rsidRDefault="0049401A" w:rsidP="0049401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Capacidad para modificar datos en casos puntuales de manera controlada.</w:t>
      </w:r>
    </w:p>
    <w:p w14:paraId="043D9EC2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b/>
          <w:bCs/>
          <w:sz w:val="20"/>
          <w:szCs w:val="20"/>
          <w:lang w:val="es-ES"/>
        </w:rPr>
        <w:t>3. Remesas de pago</w:t>
      </w:r>
    </w:p>
    <w:p w14:paraId="4B001DDE" w14:textId="77777777" w:rsidR="0049401A" w:rsidRPr="00EF65BF" w:rsidRDefault="0049401A" w:rsidP="0049401A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Generación de ficheros de remesa por periodo cerrado, con todos los empleados e importes validados.</w:t>
      </w:r>
    </w:p>
    <w:p w14:paraId="5E8699A0" w14:textId="77777777" w:rsidR="0049401A" w:rsidRPr="00EF65BF" w:rsidRDefault="0049401A" w:rsidP="0049401A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Inclusión manual de empleados no contemplados inicialmente.</w:t>
      </w:r>
    </w:p>
    <w:p w14:paraId="6CC07001" w14:textId="77777777" w:rsidR="0049401A" w:rsidRPr="00EF65BF" w:rsidRDefault="0049401A" w:rsidP="0049401A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Creación de nuevas remesas o fichas en caso de cambios una vez aprobada una anterior.</w:t>
      </w:r>
    </w:p>
    <w:p w14:paraId="2D95D13F" w14:textId="77777777" w:rsidR="0049401A" w:rsidRPr="00EF65BF" w:rsidRDefault="0049401A" w:rsidP="0049401A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Eliminación de remesas no validadas.</w:t>
      </w:r>
    </w:p>
    <w:p w14:paraId="67893387" w14:textId="77777777" w:rsidR="0049401A" w:rsidRPr="00EF65BF" w:rsidRDefault="0049401A" w:rsidP="0049401A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Flujo de validación previa por parte del responsable de área.</w:t>
      </w:r>
    </w:p>
    <w:p w14:paraId="158AB37D" w14:textId="77777777" w:rsidR="0049401A" w:rsidRPr="00EF65BF" w:rsidRDefault="0049401A" w:rsidP="0049401A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Trazabilidad de versiones y control sobre qué remesas han sido exportadas a nómina.</w:t>
      </w:r>
    </w:p>
    <w:p w14:paraId="0514760A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Segoe UI Emoji" w:hAnsi="Segoe UI Emoji" w:cs="Segoe UI Emoji"/>
          <w:b/>
          <w:bCs/>
          <w:sz w:val="20"/>
          <w:szCs w:val="20"/>
          <w:lang w:val="es-ES"/>
        </w:rPr>
        <w:t>🧩</w:t>
      </w:r>
      <w:r w:rsidRPr="00EF65BF">
        <w:rPr>
          <w:rFonts w:ascii="Arial" w:hAnsi="Arial" w:cs="Arial"/>
          <w:b/>
          <w:bCs/>
          <w:sz w:val="20"/>
          <w:szCs w:val="20"/>
          <w:lang w:val="es-ES"/>
        </w:rPr>
        <w:t xml:space="preserve"> Reglas funcionales clave a configurar</w:t>
      </w:r>
    </w:p>
    <w:p w14:paraId="7D0116E0" w14:textId="5779FB09" w:rsidR="0049401A" w:rsidRPr="00EF65BF" w:rsidRDefault="0049401A" w:rsidP="0049401A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Reglas de asociación plan–puesto</w:t>
      </w:r>
      <w:r w:rsidR="001073B4" w:rsidRPr="00EF65BF">
        <w:rPr>
          <w:rFonts w:ascii="Arial" w:hAnsi="Arial" w:cs="Arial"/>
          <w:sz w:val="20"/>
          <w:szCs w:val="20"/>
          <w:lang w:val="es-ES"/>
        </w:rPr>
        <w:t>/posicion</w:t>
      </w:r>
      <w:r w:rsidRPr="00EF65BF">
        <w:rPr>
          <w:rFonts w:ascii="Arial" w:hAnsi="Arial" w:cs="Arial"/>
          <w:sz w:val="20"/>
          <w:szCs w:val="20"/>
          <w:lang w:val="es-ES"/>
        </w:rPr>
        <w:t>–departamento: Definidas por mes, deben poder modificarse sin perder histórico.</w:t>
      </w:r>
    </w:p>
    <w:p w14:paraId="2DD786E3" w14:textId="3AA05E57" w:rsidR="0049401A" w:rsidRPr="00EF65BF" w:rsidRDefault="0049401A" w:rsidP="0049401A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Reglas de excepción por persona: Un empleado puede tener un plan distinto al que le corresponde por </w:t>
      </w:r>
      <w:r w:rsidR="001073B4" w:rsidRPr="00EF65BF">
        <w:rPr>
          <w:rFonts w:ascii="Arial" w:hAnsi="Arial" w:cs="Arial"/>
          <w:sz w:val="20"/>
          <w:szCs w:val="20"/>
          <w:lang w:val="es-ES"/>
        </w:rPr>
        <w:t>regla de asociacion</w:t>
      </w:r>
      <w:r w:rsidRPr="00EF65BF">
        <w:rPr>
          <w:rFonts w:ascii="Arial" w:hAnsi="Arial" w:cs="Arial"/>
          <w:sz w:val="20"/>
          <w:szCs w:val="20"/>
          <w:lang w:val="es-ES"/>
        </w:rPr>
        <w:t>.</w:t>
      </w:r>
    </w:p>
    <w:p w14:paraId="405E8184" w14:textId="77777777" w:rsidR="0049401A" w:rsidRPr="00EF65BF" w:rsidRDefault="0049401A" w:rsidP="0049401A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Reglas de validación múltiple: Los planes no se activan hasta ser aprobados por las dos personas designadas.</w:t>
      </w:r>
    </w:p>
    <w:p w14:paraId="049B70A2" w14:textId="77777777" w:rsidR="0049401A" w:rsidRPr="00EF65BF" w:rsidRDefault="0049401A" w:rsidP="0049401A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Reglas de validación de ficheros de consecución: El sistema debe identificar inconsistencias (empleado sin plan, columnas mal formateadas, fechas incorrectas).</w:t>
      </w:r>
    </w:p>
    <w:p w14:paraId="5A3CBBDC" w14:textId="77777777" w:rsidR="0049401A" w:rsidRPr="00EF65BF" w:rsidRDefault="0049401A" w:rsidP="0049401A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Reglas de modificación posterior: Posibilidad de ajustar datos ya cargados (eliminar una línea, subir nueva versión, etc.).</w:t>
      </w:r>
    </w:p>
    <w:p w14:paraId="66FFCBEC" w14:textId="77777777" w:rsidR="0049401A" w:rsidRPr="00EF65BF" w:rsidRDefault="0049401A" w:rsidP="0049401A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Reglas de control en remesas: Se debe evitar duplicar remesas y garantizar que la última enviada sea la válida para nómina.</w:t>
      </w:r>
    </w:p>
    <w:p w14:paraId="5A7E8C79" w14:textId="77777777" w:rsidR="001073B4" w:rsidRPr="00EF65BF" w:rsidRDefault="001073B4" w:rsidP="001073B4">
      <w:pPr>
        <w:rPr>
          <w:rFonts w:ascii="Arial" w:hAnsi="Arial" w:cs="Arial"/>
          <w:sz w:val="20"/>
          <w:szCs w:val="20"/>
          <w:lang w:val="es-ES"/>
        </w:rPr>
      </w:pPr>
    </w:p>
    <w:p w14:paraId="7E3F173D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Segoe UI Emoji" w:hAnsi="Segoe UI Emoji" w:cs="Segoe UI Emoji"/>
          <w:b/>
          <w:bCs/>
          <w:sz w:val="20"/>
          <w:szCs w:val="20"/>
          <w:lang w:val="es-ES"/>
        </w:rPr>
        <w:t>📥</w:t>
      </w:r>
      <w:r w:rsidRPr="00EF65BF">
        <w:rPr>
          <w:rFonts w:ascii="Arial" w:hAnsi="Arial" w:cs="Arial"/>
          <w:b/>
          <w:bCs/>
          <w:sz w:val="20"/>
          <w:szCs w:val="20"/>
          <w:lang w:val="es-ES"/>
        </w:rPr>
        <w:t xml:space="preserve"> Instrucciones para los proveedores</w:t>
      </w:r>
    </w:p>
    <w:p w14:paraId="556B7EB0" w14:textId="77777777" w:rsidR="0049401A" w:rsidRPr="00EF65BF" w:rsidRDefault="0049401A" w:rsidP="0049401A">
      <w:p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Se solicita a los proveedores que en su respuesta:</w:t>
      </w:r>
    </w:p>
    <w:p w14:paraId="17E805C6" w14:textId="77777777" w:rsidR="0049401A" w:rsidRPr="00EF65BF" w:rsidRDefault="0049401A" w:rsidP="0049401A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Indiquen si su solución permite realizar este proceso de forma estándar o requiere desarrollos.</w:t>
      </w:r>
    </w:p>
    <w:p w14:paraId="3B323C9F" w14:textId="77777777" w:rsidR="0049401A" w:rsidRPr="00EF65BF" w:rsidRDefault="0049401A" w:rsidP="0049401A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 xml:space="preserve">Si requiere adaptaciones, detallen: </w:t>
      </w:r>
    </w:p>
    <w:p w14:paraId="114C6260" w14:textId="77777777" w:rsidR="0049401A" w:rsidRPr="00EF65BF" w:rsidRDefault="0049401A" w:rsidP="0049401A">
      <w:pPr>
        <w:numPr>
          <w:ilvl w:val="1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Qué parte debe desarrollarse.</w:t>
      </w:r>
    </w:p>
    <w:p w14:paraId="3A66C2B5" w14:textId="77777777" w:rsidR="0049401A" w:rsidRPr="00EF65BF" w:rsidRDefault="0049401A" w:rsidP="0049401A">
      <w:pPr>
        <w:numPr>
          <w:ilvl w:val="1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Cómo se abordaría técnicamente.</w:t>
      </w:r>
    </w:p>
    <w:p w14:paraId="13487EAF" w14:textId="77777777" w:rsidR="0049401A" w:rsidRPr="00EF65BF" w:rsidRDefault="0049401A" w:rsidP="0049401A">
      <w:pPr>
        <w:numPr>
          <w:ilvl w:val="1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Coste y tiempo estimado.</w:t>
      </w:r>
    </w:p>
    <w:p w14:paraId="6E2BBF09" w14:textId="77777777" w:rsidR="0049401A" w:rsidRPr="00EF65BF" w:rsidRDefault="0049401A" w:rsidP="0049401A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Expongan cómo se gestionan remesas de pago o generación de ficheros para integración con herramientas de nómina.</w:t>
      </w:r>
    </w:p>
    <w:p w14:paraId="1F4C9B95" w14:textId="77777777" w:rsidR="0049401A" w:rsidRPr="00EF65BF" w:rsidRDefault="0049401A" w:rsidP="0049401A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EF65BF">
        <w:rPr>
          <w:rFonts w:ascii="Arial" w:hAnsi="Arial" w:cs="Arial"/>
          <w:sz w:val="20"/>
          <w:szCs w:val="20"/>
          <w:lang w:val="es-ES"/>
        </w:rPr>
        <w:t>Especifiquen si permiten realizar el mantenimiento completo del proceso desde el área de RRHH sin intervención técnica.</w:t>
      </w:r>
    </w:p>
    <w:p w14:paraId="3E01C2B1" w14:textId="4189E852" w:rsidR="0024500C" w:rsidRDefault="0049401A" w:rsidP="008F0D68">
      <w:pPr>
        <w:numPr>
          <w:ilvl w:val="0"/>
          <w:numId w:val="6"/>
        </w:numPr>
      </w:pPr>
      <w:r w:rsidRPr="00EF65BF">
        <w:rPr>
          <w:rFonts w:ascii="Arial" w:hAnsi="Arial" w:cs="Arial"/>
          <w:sz w:val="20"/>
          <w:szCs w:val="20"/>
          <w:lang w:val="es-ES"/>
        </w:rPr>
        <w:t>Incluyan referencias de clientes con procesos similares de gestión de incentivos mensuales si disponen de ellas.</w:t>
      </w:r>
    </w:p>
    <w:sectPr w:rsidR="0024500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1BA6" w14:textId="77777777" w:rsidR="00EF65BF" w:rsidRDefault="00EF65BF" w:rsidP="00EF65BF">
      <w:pPr>
        <w:spacing w:after="0"/>
      </w:pPr>
      <w:r>
        <w:separator/>
      </w:r>
    </w:p>
  </w:endnote>
  <w:endnote w:type="continuationSeparator" w:id="0">
    <w:p w14:paraId="1AE1470A" w14:textId="77777777" w:rsidR="00EF65BF" w:rsidRDefault="00EF65BF" w:rsidP="00EF65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930225"/>
      <w:docPartObj>
        <w:docPartGallery w:val="Page Numbers (Bottom of Page)"/>
        <w:docPartUnique/>
      </w:docPartObj>
    </w:sdtPr>
    <w:sdtContent>
      <w:p w14:paraId="4D63EE61" w14:textId="6B115586" w:rsidR="00EF65BF" w:rsidRDefault="00EF65B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9C5E7C" w14:textId="77777777" w:rsidR="00EF65BF" w:rsidRDefault="00EF65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80D1B" w14:textId="77777777" w:rsidR="00EF65BF" w:rsidRDefault="00EF65BF" w:rsidP="00EF65BF">
      <w:pPr>
        <w:spacing w:after="0"/>
      </w:pPr>
      <w:r>
        <w:separator/>
      </w:r>
    </w:p>
  </w:footnote>
  <w:footnote w:type="continuationSeparator" w:id="0">
    <w:p w14:paraId="1CFA7A65" w14:textId="77777777" w:rsidR="00EF65BF" w:rsidRDefault="00EF65BF" w:rsidP="00EF65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287D" w14:textId="77777777" w:rsidR="00EF65BF" w:rsidRPr="00712725" w:rsidRDefault="00EF65BF" w:rsidP="00EF65BF">
    <w:pPr>
      <w:autoSpaceDE w:val="0"/>
      <w:autoSpaceDN w:val="0"/>
      <w:ind w:left="4248"/>
      <w:rPr>
        <w:rFonts w:ascii="Calibri Light" w:hAnsi="Calibri Light" w:cs="Arial"/>
        <w:sz w:val="16"/>
        <w:szCs w:val="16"/>
      </w:rPr>
    </w:pPr>
    <w:r w:rsidRPr="00712725">
      <w:rPr>
        <w:rFonts w:ascii="Calibri Light" w:hAnsi="Calibri Light" w:cs="Arial"/>
        <w:noProof/>
        <w:color w:val="FF0000"/>
      </w:rPr>
      <w:drawing>
        <wp:anchor distT="0" distB="0" distL="114300" distR="114300" simplePos="0" relativeHeight="251659264" behindDoc="1" locked="0" layoutInCell="1" allowOverlap="1" wp14:anchorId="13732E7C" wp14:editId="44CB142D">
          <wp:simplePos x="0" y="0"/>
          <wp:positionH relativeFrom="column">
            <wp:posOffset>5402580</wp:posOffset>
          </wp:positionH>
          <wp:positionV relativeFrom="paragraph">
            <wp:posOffset>-227330</wp:posOffset>
          </wp:positionV>
          <wp:extent cx="643118" cy="512400"/>
          <wp:effectExtent l="0" t="0" r="5080" b="2540"/>
          <wp:wrapNone/>
          <wp:docPr id="3" name="Picture 3" descr="Imagen que contiene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magen que contiene tabl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lum bright="70000" contrast="-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61" r="35505"/>
                  <a:stretch/>
                </pic:blipFill>
                <pic:spPr bwMode="auto">
                  <a:xfrm>
                    <a:off x="0" y="0"/>
                    <a:ext cx="643118" cy="51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 Light" w:hAnsi="Calibri Light" w:cs="Arial"/>
        <w:sz w:val="16"/>
        <w:szCs w:val="16"/>
      </w:rPr>
      <w:t xml:space="preserve">                                   </w:t>
    </w:r>
    <w:r w:rsidRPr="00712725">
      <w:rPr>
        <w:rFonts w:ascii="Calibri Light" w:hAnsi="Calibri Light" w:cs="Arial"/>
        <w:sz w:val="16"/>
        <w:szCs w:val="16"/>
      </w:rPr>
      <w:t xml:space="preserve">RFI: </w:t>
    </w:r>
    <w:r w:rsidRPr="00712725">
      <w:rPr>
        <w:rFonts w:ascii="Calibri Light" w:hAnsi="Calibri Light"/>
        <w:sz w:val="16"/>
        <w:szCs w:val="16"/>
      </w:rPr>
      <w:t>2025-0</w:t>
    </w:r>
    <w:r>
      <w:rPr>
        <w:rFonts w:ascii="Calibri Light" w:hAnsi="Calibri Light"/>
        <w:sz w:val="16"/>
        <w:szCs w:val="16"/>
      </w:rPr>
      <w:t>9</w:t>
    </w:r>
    <w:r w:rsidRPr="00712725">
      <w:rPr>
        <w:rFonts w:ascii="Calibri Light" w:hAnsi="Calibri Light"/>
        <w:sz w:val="16"/>
        <w:szCs w:val="16"/>
      </w:rPr>
      <w:t xml:space="preserve"> Plataforma HR - </w:t>
    </w:r>
    <w:r>
      <w:rPr>
        <w:rFonts w:ascii="Calibri Light" w:hAnsi="Calibri Light"/>
        <w:sz w:val="16"/>
        <w:szCs w:val="16"/>
      </w:rPr>
      <w:t>implantación</w:t>
    </w:r>
  </w:p>
  <w:p w14:paraId="46FCF858" w14:textId="77777777" w:rsidR="00EF65BF" w:rsidRDefault="00EF65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85D50"/>
    <w:multiLevelType w:val="multilevel"/>
    <w:tmpl w:val="175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97D50"/>
    <w:multiLevelType w:val="multilevel"/>
    <w:tmpl w:val="8BD4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37A3C"/>
    <w:multiLevelType w:val="multilevel"/>
    <w:tmpl w:val="2020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C596B"/>
    <w:multiLevelType w:val="multilevel"/>
    <w:tmpl w:val="409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A40D7"/>
    <w:multiLevelType w:val="multilevel"/>
    <w:tmpl w:val="875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D1BFD"/>
    <w:multiLevelType w:val="multilevel"/>
    <w:tmpl w:val="BA0A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40807">
    <w:abstractNumId w:val="1"/>
  </w:num>
  <w:num w:numId="2" w16cid:durableId="106237057">
    <w:abstractNumId w:val="3"/>
  </w:num>
  <w:num w:numId="3" w16cid:durableId="1802965019">
    <w:abstractNumId w:val="4"/>
  </w:num>
  <w:num w:numId="4" w16cid:durableId="1903440206">
    <w:abstractNumId w:val="0"/>
  </w:num>
  <w:num w:numId="5" w16cid:durableId="1555657972">
    <w:abstractNumId w:val="2"/>
  </w:num>
  <w:num w:numId="6" w16cid:durableId="134061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12"/>
    <w:rsid w:val="001073B4"/>
    <w:rsid w:val="001C1DAC"/>
    <w:rsid w:val="0024500C"/>
    <w:rsid w:val="00272CBE"/>
    <w:rsid w:val="00335D7E"/>
    <w:rsid w:val="0034223A"/>
    <w:rsid w:val="0049401A"/>
    <w:rsid w:val="00611BD2"/>
    <w:rsid w:val="00626412"/>
    <w:rsid w:val="0066612C"/>
    <w:rsid w:val="007225C0"/>
    <w:rsid w:val="00726C0F"/>
    <w:rsid w:val="007F0458"/>
    <w:rsid w:val="008F0567"/>
    <w:rsid w:val="00960C12"/>
    <w:rsid w:val="00984B22"/>
    <w:rsid w:val="00A017AC"/>
    <w:rsid w:val="00A16CE8"/>
    <w:rsid w:val="00A9784B"/>
    <w:rsid w:val="00C358D8"/>
    <w:rsid w:val="00C62EB7"/>
    <w:rsid w:val="00D13B8A"/>
    <w:rsid w:val="00E30E56"/>
    <w:rsid w:val="00EF65BF"/>
    <w:rsid w:val="00F80255"/>
    <w:rsid w:val="00F8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ADA9A"/>
  <w15:chartTrackingRefBased/>
  <w15:docId w15:val="{5F978E84-7C86-40B7-8D54-AA62D1B1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6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C1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C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C12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C12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C12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C12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C12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C12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C12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60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C1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C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C12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60C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C12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60C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C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C12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60C1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65B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F65BF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EF65B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65BF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8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942D5D55AD54889B97A5804CC7CB7" ma:contentTypeVersion="10" ma:contentTypeDescription="Crear nuevo documento." ma:contentTypeScope="" ma:versionID="fe818d2b08c7a0d4d67750aafabf6274">
  <xsd:schema xmlns:xsd="http://www.w3.org/2001/XMLSchema" xmlns:xs="http://www.w3.org/2001/XMLSchema" xmlns:p="http://schemas.microsoft.com/office/2006/metadata/properties" xmlns:ns2="403c840e-fe4b-4cab-81e0-53fe22c61228" xmlns:ns3="13612990-49cb-4353-8a68-985d58aaefb8" targetNamespace="http://schemas.microsoft.com/office/2006/metadata/properties" ma:root="true" ma:fieldsID="b28e59d5f436eaa38e6a51a8faf4e6ae" ns2:_="" ns3:_="">
    <xsd:import namespace="403c840e-fe4b-4cab-81e0-53fe22c61228"/>
    <xsd:import namespace="13612990-49cb-4353-8a68-985d58aae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c840e-fe4b-4cab-81e0-53fe22c6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12990-49cb-4353-8a68-985d58aae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4E4BFA-640B-4FA7-A666-1C0AB9CA2823}">
  <ds:schemaRefs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403c840e-fe4b-4cab-81e0-53fe22c61228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13612990-49cb-4353-8a68-985d58aaefb8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4FC3241F-7056-40A1-AB1F-76482E9510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06368F-75C7-4000-A902-D678885A48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754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CID CALERO</dc:creator>
  <cp:keywords/>
  <dc:description/>
  <cp:lastModifiedBy>ENRIQUE CID CALERO</cp:lastModifiedBy>
  <cp:revision>16</cp:revision>
  <dcterms:created xsi:type="dcterms:W3CDTF">2025-06-17T15:53:00Z</dcterms:created>
  <dcterms:modified xsi:type="dcterms:W3CDTF">2025-08-04T16:09:00Z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0x010100668942D5D55AD54889B97A5804CC7CB7</vt:lpwstr>
  </property>
</Properties>
</file>