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95E5B" w14:textId="645FA4C6" w:rsidR="0010440F" w:rsidRPr="003F1344" w:rsidRDefault="003F1344">
      <w:pPr>
        <w:rPr>
          <w:b/>
          <w:bCs/>
        </w:rPr>
      </w:pPr>
      <w:r w:rsidRPr="003F1344">
        <w:rPr>
          <w:b/>
          <w:bCs/>
        </w:rPr>
        <w:t>Border crossings into and out of Ukraine, 2022–2026</w:t>
      </w:r>
    </w:p>
    <w:tbl>
      <w:tblPr>
        <w:tblW w:w="6516" w:type="dxa"/>
        <w:tblCellMar>
          <w:left w:w="0" w:type="dxa"/>
          <w:right w:w="0" w:type="dxa"/>
        </w:tblCellMar>
        <w:tblLook w:val="04A0" w:firstRow="1" w:lastRow="0" w:firstColumn="1" w:lastColumn="0" w:noHBand="0" w:noVBand="1"/>
      </w:tblPr>
      <w:tblGrid>
        <w:gridCol w:w="1180"/>
        <w:gridCol w:w="1934"/>
        <w:gridCol w:w="1843"/>
        <w:gridCol w:w="1559"/>
      </w:tblGrid>
      <w:tr w:rsidR="003F1344" w:rsidRPr="00DD7A71" w14:paraId="449373BD" w14:textId="77777777" w:rsidTr="00BB552C">
        <w:trPr>
          <w:trHeight w:val="300"/>
        </w:trPr>
        <w:tc>
          <w:tcPr>
            <w:tcW w:w="11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A33291D" w14:textId="3A4888CE" w:rsidR="003F1344" w:rsidRPr="00DD7A71" w:rsidRDefault="003F1344" w:rsidP="00BB552C">
            <w:r>
              <w:t>Year</w:t>
            </w:r>
          </w:p>
        </w:tc>
        <w:tc>
          <w:tcPr>
            <w:tcW w:w="193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7BD1E7E" w14:textId="0B72BAF0" w:rsidR="003F1344" w:rsidRPr="00DD7A71" w:rsidRDefault="003F1344" w:rsidP="00BB552C">
            <w:r w:rsidRPr="003F1344">
              <w:t>Exits from Ukraine</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D47A344" w14:textId="0E83C1FE" w:rsidR="003F1344" w:rsidRPr="00DD7A71" w:rsidRDefault="003F1344" w:rsidP="00BB552C">
            <w:r>
              <w:t xml:space="preserve">Entries into Ukraine </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04F12DD" w14:textId="6047D79D" w:rsidR="003F1344" w:rsidRPr="00DD7A71" w:rsidRDefault="003F1344" w:rsidP="00BB552C">
            <w:r>
              <w:t>Net migration</w:t>
            </w:r>
          </w:p>
        </w:tc>
      </w:tr>
      <w:tr w:rsidR="003F1344" w:rsidRPr="00DD7A71" w14:paraId="7288BE97" w14:textId="77777777" w:rsidTr="00BB552C">
        <w:trPr>
          <w:trHeight w:val="300"/>
        </w:trPr>
        <w:tc>
          <w:tcPr>
            <w:tcW w:w="11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7CBF020" w14:textId="77777777" w:rsidR="003F1344" w:rsidRPr="00DD7A71" w:rsidRDefault="003F1344" w:rsidP="00BB552C">
            <w:r w:rsidRPr="00DD7A71">
              <w:t>2022</w:t>
            </w:r>
          </w:p>
        </w:tc>
        <w:tc>
          <w:tcPr>
            <w:tcW w:w="19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5C7ECFF" w14:textId="77777777" w:rsidR="003F1344" w:rsidRPr="00DD7A71" w:rsidRDefault="003F1344" w:rsidP="00BB552C">
            <w:r w:rsidRPr="00DD7A71">
              <w:t>12679000</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1DB9F4C" w14:textId="77777777" w:rsidR="003F1344" w:rsidRPr="00DD7A71" w:rsidRDefault="003F1344" w:rsidP="00BB552C">
            <w:r w:rsidRPr="00DD7A71">
              <w:t>10970500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17AE3FA" w14:textId="77777777" w:rsidR="003F1344" w:rsidRPr="00DD7A71" w:rsidRDefault="003F1344" w:rsidP="00BB552C">
            <w:r w:rsidRPr="00DD7A71">
              <w:t>-1708500</w:t>
            </w:r>
          </w:p>
        </w:tc>
      </w:tr>
      <w:tr w:rsidR="003F1344" w:rsidRPr="00DD7A71" w14:paraId="44E41148" w14:textId="77777777" w:rsidTr="00BB552C">
        <w:trPr>
          <w:trHeight w:val="300"/>
        </w:trPr>
        <w:tc>
          <w:tcPr>
            <w:tcW w:w="11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3049FB8" w14:textId="77777777" w:rsidR="003F1344" w:rsidRPr="00DD7A71" w:rsidRDefault="003F1344" w:rsidP="00BB552C">
            <w:r w:rsidRPr="00DD7A71">
              <w:t>2023</w:t>
            </w:r>
          </w:p>
        </w:tc>
        <w:tc>
          <w:tcPr>
            <w:tcW w:w="19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37008DE" w14:textId="77777777" w:rsidR="003F1344" w:rsidRPr="00DD7A71" w:rsidRDefault="003F1344" w:rsidP="00BB552C">
            <w:r w:rsidRPr="00DD7A71">
              <w:t>14423000</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11213D" w14:textId="77777777" w:rsidR="003F1344" w:rsidRPr="00DD7A71" w:rsidRDefault="003F1344" w:rsidP="00BB552C">
            <w:r w:rsidRPr="00DD7A71">
              <w:t>14368000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83503EB" w14:textId="77777777" w:rsidR="003F1344" w:rsidRPr="00DD7A71" w:rsidRDefault="003F1344" w:rsidP="00BB552C">
            <w:r w:rsidRPr="00DD7A71">
              <w:t>-55000</w:t>
            </w:r>
          </w:p>
        </w:tc>
      </w:tr>
      <w:tr w:rsidR="003F1344" w:rsidRPr="00DD7A71" w14:paraId="20DB4785" w14:textId="77777777" w:rsidTr="00BB552C">
        <w:trPr>
          <w:trHeight w:val="300"/>
        </w:trPr>
        <w:tc>
          <w:tcPr>
            <w:tcW w:w="11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C77D8DC" w14:textId="77777777" w:rsidR="003F1344" w:rsidRPr="00DD7A71" w:rsidRDefault="003F1344" w:rsidP="00BB552C">
            <w:r w:rsidRPr="00DD7A71">
              <w:t>2024</w:t>
            </w:r>
          </w:p>
        </w:tc>
        <w:tc>
          <w:tcPr>
            <w:tcW w:w="19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CC76ABB" w14:textId="77777777" w:rsidR="003F1344" w:rsidRPr="00DD7A71" w:rsidRDefault="003F1344" w:rsidP="00BB552C">
            <w:r w:rsidRPr="00DD7A71">
              <w:t>14267100</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95656AF" w14:textId="77777777" w:rsidR="003F1344" w:rsidRPr="00DD7A71" w:rsidRDefault="003F1344" w:rsidP="00BB552C">
            <w:r w:rsidRPr="00DD7A71">
              <w:t>13952000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0484DBD" w14:textId="77777777" w:rsidR="003F1344" w:rsidRPr="00DD7A71" w:rsidRDefault="003F1344" w:rsidP="00BB552C">
            <w:r w:rsidRPr="00DD7A71">
              <w:t>-315100</w:t>
            </w:r>
          </w:p>
        </w:tc>
      </w:tr>
      <w:tr w:rsidR="003F1344" w:rsidRPr="00DD7A71" w14:paraId="20C60B45" w14:textId="77777777" w:rsidTr="00BB552C">
        <w:trPr>
          <w:trHeight w:val="300"/>
        </w:trPr>
        <w:tc>
          <w:tcPr>
            <w:tcW w:w="11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7537689" w14:textId="77777777" w:rsidR="003F1344" w:rsidRPr="00DD7A71" w:rsidRDefault="003F1344" w:rsidP="00BB552C">
            <w:r w:rsidRPr="00DD7A71">
              <w:t>2025</w:t>
            </w:r>
          </w:p>
        </w:tc>
        <w:tc>
          <w:tcPr>
            <w:tcW w:w="19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7F7289A" w14:textId="77777777" w:rsidR="003F1344" w:rsidRPr="00DD7A71" w:rsidRDefault="003F1344" w:rsidP="00BB552C">
            <w:r w:rsidRPr="00DD7A71">
              <w:t>14743800</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FDD9D0C" w14:textId="77777777" w:rsidR="003F1344" w:rsidRPr="00DD7A71" w:rsidRDefault="003F1344" w:rsidP="00BB552C">
            <w:r w:rsidRPr="00DD7A71">
              <w:t>14573900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3DEAE00" w14:textId="77777777" w:rsidR="003F1344" w:rsidRPr="00DD7A71" w:rsidRDefault="003F1344" w:rsidP="00BB552C">
            <w:r w:rsidRPr="00DD7A71">
              <w:t>-169900</w:t>
            </w:r>
          </w:p>
        </w:tc>
      </w:tr>
      <w:tr w:rsidR="003F1344" w:rsidRPr="00DD7A71" w14:paraId="431E91C1" w14:textId="77777777" w:rsidTr="00BB552C">
        <w:trPr>
          <w:trHeight w:val="300"/>
        </w:trPr>
        <w:tc>
          <w:tcPr>
            <w:tcW w:w="11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8AB24AA" w14:textId="77777777" w:rsidR="003F1344" w:rsidRPr="00DD7A71" w:rsidRDefault="003F1344" w:rsidP="00BB552C">
            <w:r w:rsidRPr="00DD7A71">
              <w:t>2026</w:t>
            </w:r>
          </w:p>
        </w:tc>
        <w:tc>
          <w:tcPr>
            <w:tcW w:w="193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8AA7C5B" w14:textId="77777777" w:rsidR="003F1344" w:rsidRPr="00DD7A71" w:rsidRDefault="003F1344" w:rsidP="00BB552C">
            <w:r w:rsidRPr="00DD7A71">
              <w:t>9877000</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F71666F" w14:textId="77777777" w:rsidR="003F1344" w:rsidRPr="00DD7A71" w:rsidRDefault="003F1344" w:rsidP="00BB552C">
            <w:r w:rsidRPr="00DD7A71">
              <w:t>9881000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C736CB8" w14:textId="77777777" w:rsidR="003F1344" w:rsidRPr="00DD7A71" w:rsidRDefault="003F1344" w:rsidP="00BB552C">
            <w:r w:rsidRPr="00DD7A71">
              <w:t>4000</w:t>
            </w:r>
          </w:p>
        </w:tc>
      </w:tr>
    </w:tbl>
    <w:p w14:paraId="460B4A6E" w14:textId="48791AD0" w:rsidR="003F1344" w:rsidRDefault="003F1344" w:rsidP="003F1344">
      <w:r w:rsidRPr="003F1344">
        <w:t>Note: Data for 2022 cover the period from 24 February onward; data for 2026 cover the period through 3 September, inclusive.</w:t>
      </w:r>
    </w:p>
    <w:p w14:paraId="3F03DAE6" w14:textId="6FD47882" w:rsidR="003F1344" w:rsidRDefault="003F1344" w:rsidP="003F1344">
      <w:r>
        <w:t xml:space="preserve">Source: </w:t>
      </w:r>
      <w:r w:rsidRPr="003F1344">
        <w:t>State Border Guard Service of Ukraine</w:t>
      </w:r>
      <w:r>
        <w:t xml:space="preserve"> 2022-2026. </w:t>
      </w:r>
    </w:p>
    <w:p w14:paraId="1C3E30A0" w14:textId="77777777" w:rsidR="003F1344" w:rsidRDefault="003F1344" w:rsidP="003F1344"/>
    <w:p w14:paraId="29783A56" w14:textId="77777777" w:rsidR="003F1344" w:rsidRDefault="003F1344" w:rsidP="003F1344">
      <w:pPr>
        <w:rPr>
          <w:rStyle w:val="Hyperlink"/>
        </w:rPr>
      </w:pPr>
      <w:proofErr w:type="spellStart"/>
      <w:r w:rsidRPr="003F1344">
        <w:t>Pozniak</w:t>
      </w:r>
      <w:proofErr w:type="spellEnd"/>
      <w:r w:rsidRPr="003F1344">
        <w:t xml:space="preserve"> O. (2023). The Situation of Forced Migrants from Ukraine in Europe after Russian Military Aggression and the Problems of Ukraine’s Migration Policy in These New Conditions. Central and Eastern European Migration Review 12(1): 159–181. </w:t>
      </w:r>
      <w:proofErr w:type="spellStart"/>
      <w:r w:rsidRPr="003F1344">
        <w:t>doi</w:t>
      </w:r>
      <w:proofErr w:type="spellEnd"/>
      <w:r w:rsidRPr="003F1344">
        <w:t>: 10.54667/ceemr.2023.17 </w:t>
      </w:r>
      <w:hyperlink r:id="rId4" w:tgtFrame="_blank" w:history="1">
        <w:r w:rsidRPr="003F1344">
          <w:rPr>
            <w:rStyle w:val="Hyperlink"/>
          </w:rPr>
          <w:t>http://ceemr.uw.edu.pl/sites/default/files/Pozniak_2023.pdf</w:t>
        </w:r>
      </w:hyperlink>
    </w:p>
    <w:p w14:paraId="522DDD1E" w14:textId="77777777" w:rsidR="003F1344" w:rsidRPr="00DD7A71" w:rsidRDefault="003F1344" w:rsidP="003F1344">
      <w:proofErr w:type="spellStart"/>
      <w:r w:rsidRPr="00DD7A71">
        <w:t>Ueffing</w:t>
      </w:r>
      <w:proofErr w:type="spellEnd"/>
      <w:r w:rsidRPr="00DD7A71">
        <w:t xml:space="preserve"> P., Adhikari S., Goujon A., KC S., </w:t>
      </w:r>
      <w:proofErr w:type="spellStart"/>
      <w:r w:rsidRPr="00DD7A71">
        <w:t>Poznyak</w:t>
      </w:r>
      <w:proofErr w:type="spellEnd"/>
      <w:r w:rsidRPr="00DD7A71">
        <w:t xml:space="preserve"> O. and Natale F. (2023) Ukraine’s population future after the Russian Invasion – The role of migration for demographic change, Publications Office of the European Union, Luxembourg 2023, doi:10.2760/607962, ISBN 978-92-68-00431-9, JRC132458. </w:t>
      </w:r>
      <w:hyperlink r:id="rId5" w:tgtFrame="_blank" w:history="1">
        <w:r w:rsidRPr="00DD7A71">
          <w:rPr>
            <w:rStyle w:val="Hyperlink"/>
          </w:rPr>
          <w:t>https://op.europa.eu/en/publication-detail/-/publication/5217277a-be30-11ed-8912-01aa75ed71a1/language-en</w:t>
        </w:r>
      </w:hyperlink>
    </w:p>
    <w:p w14:paraId="41504806" w14:textId="77777777" w:rsidR="003F1344" w:rsidRDefault="003F1344" w:rsidP="003F1344">
      <w:pPr>
        <w:rPr>
          <w:rStyle w:val="Hyperlink"/>
        </w:rPr>
      </w:pPr>
    </w:p>
    <w:p w14:paraId="3ED0F895" w14:textId="77777777" w:rsidR="003F1344" w:rsidRPr="003F1344" w:rsidRDefault="003F1344" w:rsidP="003F1344"/>
    <w:p w14:paraId="4EA4F769" w14:textId="77777777" w:rsidR="003F1344" w:rsidRPr="003F1344" w:rsidRDefault="003F1344" w:rsidP="003F1344"/>
    <w:sectPr w:rsidR="003F1344" w:rsidRPr="003F1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344"/>
    <w:rsid w:val="0010440F"/>
    <w:rsid w:val="003F1344"/>
    <w:rsid w:val="00A43EF3"/>
    <w:rsid w:val="00D81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EFFF"/>
  <w15:chartTrackingRefBased/>
  <w15:docId w15:val="{D2F3B148-B97D-4076-A41E-A39B8595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344"/>
  </w:style>
  <w:style w:type="paragraph" w:styleId="Heading1">
    <w:name w:val="heading 1"/>
    <w:basedOn w:val="Normal"/>
    <w:next w:val="Normal"/>
    <w:link w:val="Heading1Char"/>
    <w:uiPriority w:val="9"/>
    <w:qFormat/>
    <w:rsid w:val="003F1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344"/>
    <w:rPr>
      <w:rFonts w:eastAsiaTheme="majorEastAsia" w:cstheme="majorBidi"/>
      <w:color w:val="272727" w:themeColor="text1" w:themeTint="D8"/>
    </w:rPr>
  </w:style>
  <w:style w:type="paragraph" w:styleId="Title">
    <w:name w:val="Title"/>
    <w:basedOn w:val="Normal"/>
    <w:next w:val="Normal"/>
    <w:link w:val="TitleChar"/>
    <w:uiPriority w:val="10"/>
    <w:qFormat/>
    <w:rsid w:val="003F1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344"/>
    <w:pPr>
      <w:spacing w:before="160"/>
      <w:jc w:val="center"/>
    </w:pPr>
    <w:rPr>
      <w:i/>
      <w:iCs/>
      <w:color w:val="404040" w:themeColor="text1" w:themeTint="BF"/>
    </w:rPr>
  </w:style>
  <w:style w:type="character" w:customStyle="1" w:styleId="QuoteChar">
    <w:name w:val="Quote Char"/>
    <w:basedOn w:val="DefaultParagraphFont"/>
    <w:link w:val="Quote"/>
    <w:uiPriority w:val="29"/>
    <w:rsid w:val="003F1344"/>
    <w:rPr>
      <w:i/>
      <w:iCs/>
      <w:color w:val="404040" w:themeColor="text1" w:themeTint="BF"/>
    </w:rPr>
  </w:style>
  <w:style w:type="paragraph" w:styleId="ListParagraph">
    <w:name w:val="List Paragraph"/>
    <w:basedOn w:val="Normal"/>
    <w:uiPriority w:val="34"/>
    <w:qFormat/>
    <w:rsid w:val="003F1344"/>
    <w:pPr>
      <w:ind w:left="720"/>
      <w:contextualSpacing/>
    </w:pPr>
  </w:style>
  <w:style w:type="character" w:styleId="IntenseEmphasis">
    <w:name w:val="Intense Emphasis"/>
    <w:basedOn w:val="DefaultParagraphFont"/>
    <w:uiPriority w:val="21"/>
    <w:qFormat/>
    <w:rsid w:val="003F1344"/>
    <w:rPr>
      <w:i/>
      <w:iCs/>
      <w:color w:val="0F4761" w:themeColor="accent1" w:themeShade="BF"/>
    </w:rPr>
  </w:style>
  <w:style w:type="paragraph" w:styleId="IntenseQuote">
    <w:name w:val="Intense Quote"/>
    <w:basedOn w:val="Normal"/>
    <w:next w:val="Normal"/>
    <w:link w:val="IntenseQuoteChar"/>
    <w:uiPriority w:val="30"/>
    <w:qFormat/>
    <w:rsid w:val="003F1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344"/>
    <w:rPr>
      <w:i/>
      <w:iCs/>
      <w:color w:val="0F4761" w:themeColor="accent1" w:themeShade="BF"/>
    </w:rPr>
  </w:style>
  <w:style w:type="character" w:styleId="IntenseReference">
    <w:name w:val="Intense Reference"/>
    <w:basedOn w:val="DefaultParagraphFont"/>
    <w:uiPriority w:val="32"/>
    <w:qFormat/>
    <w:rsid w:val="003F1344"/>
    <w:rPr>
      <w:b/>
      <w:bCs/>
      <w:smallCaps/>
      <w:color w:val="0F4761" w:themeColor="accent1" w:themeShade="BF"/>
      <w:spacing w:val="5"/>
    </w:rPr>
  </w:style>
  <w:style w:type="character" w:styleId="Hyperlink">
    <w:name w:val="Hyperlink"/>
    <w:basedOn w:val="DefaultParagraphFont"/>
    <w:uiPriority w:val="99"/>
    <w:unhideWhenUsed/>
    <w:rsid w:val="003F134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64008">
      <w:bodyDiv w:val="1"/>
      <w:marLeft w:val="0"/>
      <w:marRight w:val="0"/>
      <w:marTop w:val="0"/>
      <w:marBottom w:val="0"/>
      <w:divBdr>
        <w:top w:val="none" w:sz="0" w:space="0" w:color="auto"/>
        <w:left w:val="none" w:sz="0" w:space="0" w:color="auto"/>
        <w:bottom w:val="none" w:sz="0" w:space="0" w:color="auto"/>
        <w:right w:val="none" w:sz="0" w:space="0" w:color="auto"/>
      </w:divBdr>
    </w:div>
    <w:div w:id="155701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p.europa.eu/en/publication-detail/-/publication/5217277a-be30-11ed-8912-01aa75ed71a1/language-en" TargetMode="External"/><Relationship Id="rId4" Type="http://schemas.openxmlformats.org/officeDocument/2006/relationships/hyperlink" Target="http://ceemr.uw.edu.pl/sites/default/files/Pozniak_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Levchuk, Nataliia</dc:creator>
  <cp:keywords/>
  <dc:description/>
  <cp:lastModifiedBy>Levchuk, Nataliia</cp:lastModifiedBy>
  <cp:revision>1</cp:revision>
  <dcterms:created xsi:type="dcterms:W3CDTF">2026-09-07T16:27:00Z</dcterms:created>
  <dcterms:modified xsi:type="dcterms:W3CDTF">2026-09-07T16:33:00Z</dcterms:modified>
</cp:coreProperties>
</file>