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Laser-Driven p-B11 Fusion in Diamond Anvil Cell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Using Cubic Boron Nitride as Target: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A Three-Generation Fusion Experimental Proposal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Kawakami Naoyuki (川上 真潔)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Independent Researcher &amp; Entrepreneur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Berry Beads Winery / Team Shiojiri / Cooperate Craft Wine Makers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Shiojiri, Nagano, Japan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ORCID: 0009-0009-2972-6511  |  GitHub: kiki054-n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Submission Date: July 2025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License: Creative Commons Attribution 4.0 International (CC BY 4.0)</w:t>
      </w:r>
    </w:p>
    <w:p>
      <w:pPr>
        <w:pBdr>
          <w:bottom w:val="single" w:color="2F5496" w:sz="4"/>
        </w:pBd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Abstract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We propose a three-phase experimental program to investigate laser-driven proton–boron-11 (p-B11) nuclear fusion using cubic boron nitride (cBN) as a combined pressure medium and fusion fuel within a diamond anvil cell (DAC). The reaction p + ¹¹B → 3 ⁴He + 8.7 MeV is aneutronic and produces three alpha particles (helium-4 nuclei), making it a candidate for clean fusion energy. This proposal introduces the "three-generation" conceptual framework: (1) plasma ignition via laser-cBN interaction at static DAC pressures up to 300 GPa; (2) dynamic shock superposition reaching ~7 TPa and ~10⁶ K; and (3) relativistic laser–plasma interaction at I &gt; 10¹⁸ W/cm² targeting the p-B11 resonance at E_cm ≈ 675 keV. The proposal details laser specifications across all three phases, diagnostic instrumentation, safety protocols, and a Zenodo-compatible open-data framework.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Keywords: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p-B11 fusion, diamond anvil cell, cubic boron nitride, laser-plasma interaction, aneutronic fusion, three-generation framework, high-pressure physics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Introduction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Nuclear fusion energy represents one of the most consequential scientific and technological challenges of the 21st century. Among candidate fuel cycles, the proton–boron-11 (p-B11) reaction holds particular promise due to its aneutronic nature: the primary reaction produces three alpha particles without direct neutron emission, substantially reducing radioactivation of reactor components and enabling direct energy conversion via charged-particle collection.</w:t>
      </w:r>
    </w:p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fundamental reaction is: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p + ¹¹B  →  3 ⁴He  +  8.7 MeV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Despite its appeal, p-B11 fusion faces significant challenges. The Coulomb barrier between a proton (Z = 1) and boron-11 (Z = 5) requires ion center-of-mass energies of approximately 675 keV to access the dominant resonance, corresponding to plasma temperatures of T ~ 3 × 10⁹ K — far exceeding the requirements for the standard D-T reaction.</w:t>
      </w:r>
    </w:p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proposal introduces a novel experimental architecture: a Diamond Anvil Cell (DAC) loaded with cubic boron nitride (cBN) as a simultaneous pressure medium and boron/nitrogen fuel source, irradiated by a staged laser system spanning three distinct intensity regimes. The approach is motivated by the following considerations: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cBN contains ¹¹B at 80.1% natural abundance, providing high-purity fuel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Diamond anvils transmit laser wavelengths from near-UV to near-IR (&gt;85% at 1064 nm)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DAC static pre-compression reduces the plasma scale length and increases initial density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Laser-driven shock waves superpose dynamic pressure onto the static DAC background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Relativistic laser–plasma interaction at I &gt; 10¹⁸ W/cm² accelerates protons via TNSA to MeV energies sufficient to overcome the Coulomb barrier</w:t>
      </w:r>
    </w:p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term this the "Three-Generation Fusion Framework" (TGFF): three successive generations of energy delivery (thermal, hydrodynamic, relativistic) acting on three atomic species (B, N, He products) through three experimental phases.</w:t>
      </w:r>
    </w:p>
    <w:p>
      <w:pPr>
        <w:pStyle w:val="Heading1"/>
        <w:spacing w:after="200" w:before="400"/>
      </w:pPr>
      <w:r>
        <w:t xml:space="preserve">2. Three-Generation Conceptual Framework (TGFF)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TGFF organizes the experimental program along two orthogonal axes: energy delivery generation and nuclear species generation.</w:t>
      </w:r>
    </w:p>
    <w:p>
      <w:pPr>
        <w:spacing w:after="80"/>
      </w:pPr>
    </w:p>
    <w:p>
      <w:pPr>
        <w:pStyle w:val="Heading2"/>
        <w:spacing w:after="160" w:before="300"/>
      </w:pPr>
      <w:r>
        <w:t xml:space="preserve">2.1 Energy Delivery Generations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Generation</w:t>
            </w:r>
          </w:p>
        </w:tc>
        <w:tc>
          <w:tcPr>
            <w:tcW w:type="dxa" w:w="35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0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Timescale</w:t>
            </w:r>
          </w:p>
        </w:tc>
        <w:tc>
          <w:tcPr>
            <w:tcW w:type="dxa" w:w="25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Energy Scale</w:t>
            </w:r>
          </w:p>
        </w:tc>
      </w:tr>
      <w:tr>
        <w:tc>
          <w:tcPr>
            <w:tcW w:type="dxa" w:w="2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1st</w:t>
            </w:r>
          </w:p>
        </w:tc>
        <w:tc>
          <w:tcPr>
            <w:tcW w:type="dxa" w:w="3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Thermal laser heating (LHDAC)</w:t>
            </w:r>
          </w:p>
        </w:tc>
        <w:tc>
          <w:tcPr>
            <w:tcW w:type="dxa" w:w="2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ms – CW</w:t>
            </w:r>
          </w:p>
        </w:tc>
        <w:tc>
          <w:tcPr>
            <w:tcW w:type="dxa" w:w="2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~eV (T ~ 10⁴ K)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2nd</w:t>
            </w:r>
          </w:p>
        </w:tc>
        <w:tc>
          <w:tcPr>
            <w:tcW w:type="dxa" w:w="3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Laser-driven shock wave</w:t>
            </w:r>
          </w:p>
        </w:tc>
        <w:tc>
          <w:tcPr>
            <w:tcW w:type="dxa" w:w="20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ns</w:t>
            </w:r>
          </w:p>
        </w:tc>
        <w:tc>
          <w:tcPr>
            <w:tcW w:type="dxa" w:w="2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~keV (T ~ 10⁶ K)</w:t>
            </w:r>
          </w:p>
        </w:tc>
      </w:tr>
      <w:tr>
        <w:tc>
          <w:tcPr>
            <w:tcW w:type="dxa" w:w="2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3rd</w:t>
            </w:r>
          </w:p>
        </w:tc>
        <w:tc>
          <w:tcPr>
            <w:tcW w:type="dxa" w:w="3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Relativistic laser–plasma / TNSA</w:t>
            </w:r>
          </w:p>
        </w:tc>
        <w:tc>
          <w:tcPr>
            <w:tcW w:type="dxa" w:w="2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fs – ps</w:t>
            </w:r>
          </w:p>
        </w:tc>
        <w:tc>
          <w:tcPr>
            <w:tcW w:type="dxa" w:w="2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~MeV (T ~ 10⁹ K)</w:t>
            </w:r>
          </w:p>
        </w:tc>
      </w:tr>
    </w:tbl>
    <w:p>
      <w:pPr>
        <w:spacing w:after="80"/>
      </w:pPr>
    </w:p>
    <w:p>
      <w:pPr>
        <w:pStyle w:val="Heading2"/>
        <w:spacing w:after="160" w:before="300"/>
      </w:pPr>
      <w:r>
        <w:t xml:space="preserve">2.2 Nuclear Species Generations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Generation</w:t>
            </w:r>
          </w:p>
        </w:tc>
        <w:tc>
          <w:tcPr>
            <w:tcW w:type="dxa" w:w="22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Species</w:t>
            </w:r>
          </w:p>
        </w:tc>
        <w:tc>
          <w:tcPr>
            <w:tcW w:type="dxa" w:w="30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Reaction</w:t>
            </w:r>
          </w:p>
        </w:tc>
      </w:tr>
      <w:tr>
        <w:tc>
          <w:tcPr>
            <w:tcW w:type="dxa" w:w="1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1st</w:t>
            </w:r>
          </w:p>
        </w:tc>
        <w:tc>
          <w:tcPr>
            <w:tcW w:type="dxa" w:w="22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¹¹B (from cBN)</w:t>
            </w:r>
          </w:p>
        </w:tc>
        <w:tc>
          <w:tcPr>
            <w:tcW w:type="dxa" w:w="3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Primary fuel</w:t>
            </w:r>
          </w:p>
        </w:tc>
        <w:tc>
          <w:tcPr>
            <w:tcW w:type="dxa" w:w="33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 + ¹¹B → 3 ⁴He</w:t>
            </w:r>
          </w:p>
        </w:tc>
      </w:tr>
      <w:tr>
        <w:tc>
          <w:tcPr>
            <w:tcW w:type="dxa" w:w="1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2nd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¹⁴N (from cBN)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CNO catalyst entry</w:t>
            </w:r>
          </w:p>
        </w:tc>
        <w:tc>
          <w:tcPr>
            <w:tcW w:type="dxa" w:w="33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 + ¹⁴N → ¹⁵O + γ</w:t>
            </w:r>
          </w:p>
        </w:tc>
      </w:tr>
      <w:tr>
        <w:tc>
          <w:tcPr>
            <w:tcW w:type="dxa" w:w="1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3rd</w:t>
            </w:r>
          </w:p>
        </w:tc>
        <w:tc>
          <w:tcPr>
            <w:tcW w:type="dxa" w:w="22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⁴He (product)</w:t>
            </w:r>
          </w:p>
        </w:tc>
        <w:tc>
          <w:tcPr>
            <w:tcW w:type="dxa" w:w="3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Alpha diagnostics / secondary fuel</w:t>
            </w:r>
          </w:p>
        </w:tc>
        <w:tc>
          <w:tcPr>
            <w:tcW w:type="dxa" w:w="33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⁴He → detection / reuse</w:t>
            </w:r>
          </w:p>
        </w:tc>
      </w:tr>
    </w:tbl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dual-axis framework allows each experimental phase to be independently validated while building toward the cumulative conditions required for net nuclear reaction events.</w:t>
      </w:r>
    </w:p>
    <w:p>
      <w:pPr>
        <w:pStyle w:val="Heading1"/>
        <w:spacing w:after="200" w:before="400"/>
      </w:pPr>
      <w:r>
        <w:t xml:space="preserve">3. Target Material: Cubic Boron Nitride (cBN)</w:t>
      </w:r>
    </w:p>
    <w:p>
      <w:pPr>
        <w:pStyle w:val="Heading2"/>
        <w:spacing w:after="160" w:before="300"/>
      </w:pPr>
      <w:r>
        <w:t xml:space="preserve">3.1 Material Properties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2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</w:tr>
      <w:tr>
        <w:tc>
          <w:tcPr>
            <w:tcW w:type="dxa" w:w="28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Crystal structure</w:t>
            </w:r>
          </w:p>
        </w:tc>
        <w:tc>
          <w:tcPr>
            <w:tcW w:type="dxa" w:w="22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Zinc blende (F-43m)</w:t>
            </w:r>
          </w:p>
        </w:tc>
        <w:tc>
          <w:tcPr>
            <w:tcW w:type="dxa" w:w="5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Isotropic under pressure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Density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3.48 g/cm³</w:t>
            </w:r>
          </w:p>
        </w:tc>
        <w:tc>
          <w:tcPr>
            <w:tcW w:type="dxa" w:w="50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 initial number density</w:t>
            </w:r>
          </w:p>
        </w:tc>
      </w:tr>
      <w:tr>
        <w:tc>
          <w:tcPr>
            <w:tcW w:type="dxa" w:w="28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Hardness (Vickers)</w:t>
            </w:r>
          </w:p>
        </w:tc>
        <w:tc>
          <w:tcPr>
            <w:tcW w:type="dxa" w:w="22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~45 GPa</w:t>
            </w:r>
          </w:p>
        </w:tc>
        <w:tc>
          <w:tcPr>
            <w:tcW w:type="dxa" w:w="5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Shape retention under DAC load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Thermal conductivity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~1300 W/(m·K)</w:t>
            </w:r>
          </w:p>
        </w:tc>
        <w:tc>
          <w:tcPr>
            <w:tcW w:type="dxa" w:w="50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Rapid heat redistribution</w:t>
            </w:r>
          </w:p>
        </w:tc>
      </w:tr>
      <w:tr>
        <w:tc>
          <w:tcPr>
            <w:tcW w:type="dxa" w:w="28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Band gap</w:t>
            </w:r>
          </w:p>
        </w:tc>
        <w:tc>
          <w:tcPr>
            <w:tcW w:type="dxa" w:w="22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6.4 eV (indirect)</w:t>
            </w:r>
          </w:p>
        </w:tc>
        <w:tc>
          <w:tcPr>
            <w:tcW w:type="dxa" w:w="5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Multi-photon absorption at 1064 nm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B-N bond energy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~6.4 eV/bond</w:t>
            </w:r>
          </w:p>
        </w:tc>
        <w:tc>
          <w:tcPr>
            <w:tcW w:type="dxa" w:w="50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Plasma ionization threshold</w:t>
            </w:r>
          </w:p>
        </w:tc>
      </w:tr>
      <w:tr>
        <w:tc>
          <w:tcPr>
            <w:tcW w:type="dxa" w:w="28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¹¹B abundance</w:t>
            </w:r>
          </w:p>
        </w:tc>
        <w:tc>
          <w:tcPr>
            <w:tcW w:type="dxa" w:w="22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80.1%</w:t>
            </w:r>
          </w:p>
        </w:tc>
        <w:tc>
          <w:tcPr>
            <w:tcW w:type="dxa" w:w="5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 fuel purity without enrichment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¹⁴N abundance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99.6%</w:t>
            </w:r>
          </w:p>
        </w:tc>
        <w:tc>
          <w:tcPr>
            <w:tcW w:type="dxa" w:w="50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CNO pathway availability</w:t>
            </w:r>
          </w:p>
        </w:tc>
      </w:tr>
    </w:tbl>
    <w:p>
      <w:pPr>
        <w:spacing w:after="80"/>
      </w:pPr>
    </w:p>
    <w:p>
      <w:pPr>
        <w:pStyle w:val="Heading2"/>
        <w:spacing w:after="160" w:before="300"/>
      </w:pPr>
      <w:r>
        <w:t xml:space="preserve">3.2 Laser Absorption Mechanism in cBN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 1064 nm (photon energy hν ≈ 1.17 eV), single-photon absorption is forbidden (Eg = 6.4 eV). The primary absorption pathways are:</w:t>
      </w:r>
    </w:p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Multi-photon absorption (MPA): n-photon order n = ⌈6.4/1.17⌉ = 6. Rate scales as I⁶.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Inverse Bremsstrahlung (IB): once seed free electrons exist from MPA, IB dominates above I ~ 10¹⁰ W/cm².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(c) Above-threshold ionization (ATI) and tunnel ionization: relevant at I &gt; 10¹³ W/cm² (Keldysh parameter γ_K &lt; 1).</w:t>
      </w:r>
    </w:p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Keldysh parameter: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γ_K = ω (2m_e E_g)^(1/2) / (eE_laser)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Tunnel ionization dominates when γ_K &lt; 1, achievable at I &gt; ~5 × 10¹³ W/cm² for 1064 nm on cBN.</w:t>
      </w:r>
    </w:p>
    <w:p>
      <w:pPr>
        <w:pStyle w:val="Heading1"/>
        <w:spacing w:after="200" w:before="400"/>
      </w:pPr>
      <w:r>
        <w:t xml:space="preserve">4. Experimental Setup</w:t>
      </w:r>
    </w:p>
    <w:p>
      <w:pPr>
        <w:pStyle w:val="Heading2"/>
        <w:spacing w:after="160" w:before="300"/>
      </w:pPr>
      <w:r>
        <w:t xml:space="preserve">4.1 Diamond Anvil Cell Configuration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DAC employs two brilliant-cut type IIa synthetic diamond anvils with culet diameters of 50–100 μm for Phase 1–2, reduced to 20–30 μm nano-anvils for Phase 3. A pre-indented rhenium gasket (thickness ~20–30 μm) defines the sample chamber. cBN powder (particle size &lt; 1 μm, purity &gt; 99.5%) is loaded without pressure-transmitting medium to maintain maximum compression efficiency.</w:t>
      </w:r>
    </w:p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ruby chip (Cr³⁺:Al₂O₃, ~2 μm diameter) is co-loaded for in situ pressure calibration via the R1 fluorescence line shift (dλ/dP ≈ 0.365 Å/GPa).</w:t>
      </w:r>
    </w:p>
    <w:p>
      <w:pPr>
        <w:spacing w:after="80"/>
      </w:pPr>
    </w:p>
    <w:p>
      <w:pPr>
        <w:pStyle w:val="Heading2"/>
        <w:spacing w:after="160" w:before="300"/>
      </w:pPr>
      <w:r>
        <w:t xml:space="preserve">4.2 Optical Access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Diamond transmits from ~225 nm to ~2500 nm at ambient conditions. At P &gt; 100 GPa, phonon absorption increases below 400 nm. Laser wavelengths of 527 nm, 800 nm, and 1064 nm all maintain &gt;80% transmission through 2 mm diamond at target pressures.</w:t>
      </w:r>
    </w:p>
    <w:p>
      <w:pPr>
        <w:pStyle w:val="Heading1"/>
        <w:spacing w:after="200" w:before="400"/>
      </w:pPr>
      <w:r>
        <w:t xml:space="preserve">5. Laser Specifications by Phase</w:t>
      </w:r>
    </w:p>
    <w:p>
      <w:pPr>
        <w:pStyle w:val="Heading2"/>
        <w:spacing w:after="160" w:before="300"/>
      </w:pPr>
      <w:r>
        <w:t xml:space="preserve">Phase 1 — Plasma Formation Confirmation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Wavelength</w:t>
            </w:r>
          </w:p>
        </w:tc>
        <w:tc>
          <w:tcPr>
            <w:tcW w:type="dxa" w:w="3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1064 nm (Nd:YAG)</w:t>
            </w:r>
          </w:p>
        </w:tc>
        <w:tc>
          <w:tcPr>
            <w:tcW w:type="dxa" w:w="4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Diamond transparent; cBN MPA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Pulse width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 – 100 ns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Thermal equilibrium regime</w:t>
            </w:r>
          </w:p>
        </w:tc>
      </w:tr>
      <w:tr>
        <w:tc>
          <w:tcPr>
            <w:tcW w:type="dxa" w:w="2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Peak intensity</w:t>
            </w:r>
          </w:p>
        </w:tc>
        <w:tc>
          <w:tcPr>
            <w:tcW w:type="dxa" w:w="3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10¹⁰ – 10¹¹ W/cm²</w:t>
            </w:r>
          </w:p>
        </w:tc>
        <w:tc>
          <w:tcPr>
            <w:tcW w:type="dxa" w:w="4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Above MPA/IB threshold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Repetition rate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– 10 Hz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Sample preservation</w:t>
            </w:r>
          </w:p>
        </w:tc>
      </w:tr>
      <w:tr>
        <w:tc>
          <w:tcPr>
            <w:tcW w:type="dxa" w:w="2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Spot diameter</w:t>
            </w:r>
          </w:p>
        </w:tc>
        <w:tc>
          <w:tcPr>
            <w:tcW w:type="dxa" w:w="3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– 20 μm</w:t>
            </w:r>
          </w:p>
        </w:tc>
        <w:tc>
          <w:tcPr>
            <w:tcW w:type="dxa" w:w="4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Within cBN layer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Energy/pulse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~0.1 – 1 mJ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Tightly focused</w:t>
            </w:r>
          </w:p>
        </w:tc>
      </w:tr>
    </w:tbl>
    <w:p>
      <w:pPr>
        <w:spacing w:after="80"/>
      </w:pPr>
    </w:p>
    <w:p>
      <w:pPr>
        <w:pStyle w:val="Heading2"/>
        <w:spacing w:after="160" w:before="300"/>
      </w:pPr>
      <w:r>
        <w:t xml:space="preserve">Phase 2 — Shock Wave Superposition (ns Regime)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Wavelength</w:t>
            </w:r>
          </w:p>
        </w:tc>
        <w:tc>
          <w:tcPr>
            <w:tcW w:type="dxa" w:w="3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527 nm (2ω Nd:YAG)</w:t>
            </w:r>
          </w:p>
        </w:tc>
        <w:tc>
          <w:tcPr>
            <w:tcW w:type="dxa" w:w="4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Plasma critical density match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Pulse width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– 10 ns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Optimal shock formation</w:t>
            </w:r>
          </w:p>
        </w:tc>
      </w:tr>
      <w:tr>
        <w:tc>
          <w:tcPr>
            <w:tcW w:type="dxa" w:w="2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Peak intensity</w:t>
            </w:r>
          </w:p>
        </w:tc>
        <w:tc>
          <w:tcPr>
            <w:tcW w:type="dxa" w:w="3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10¹³ – 10¹⁴ W/cm²</w:t>
            </w:r>
          </w:p>
        </w:tc>
        <w:tc>
          <w:tcPr>
            <w:tcW w:type="dxa" w:w="4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Strong shock generation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Shock pressure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~4 TPa (at 10¹⁴ W/cm²)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Rankine–Hugoniot estimate</w:t>
            </w:r>
          </w:p>
        </w:tc>
      </w:tr>
      <w:tr>
        <w:tc>
          <w:tcPr>
            <w:tcW w:type="dxa" w:w="2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 pressure</w:t>
            </w:r>
          </w:p>
        </w:tc>
        <w:tc>
          <w:tcPr>
            <w:tcW w:type="dxa" w:w="3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~7 TPa (DAC + shock)</w:t>
            </w:r>
          </w:p>
        </w:tc>
        <w:tc>
          <w:tcPr>
            <w:tcW w:type="dxa" w:w="4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Superposition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~10⁵ – 10⁶ K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Hydrodynamic estimate</w:t>
            </w:r>
          </w:p>
        </w:tc>
      </w:tr>
    </w:tbl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Laser-induced shock pressure estimate: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P_shock ≈ 4 × 10¹¹ × (I / 10¹⁴ W/cm²)^(2/3)  [Pa]</w:t>
      </w:r>
    </w:p>
    <w:p>
      <w:pPr>
        <w:spacing w:after="80"/>
      </w:pPr>
    </w:p>
    <w:p>
      <w:pPr>
        <w:pStyle w:val="Heading2"/>
        <w:spacing w:after="160" w:before="300"/>
      </w:pPr>
      <w:r>
        <w:t xml:space="preserve">Phase 3 — Relativistic Regime (fs–ps, Destructive)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5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Wavelength</w:t>
            </w:r>
          </w:p>
        </w:tc>
        <w:tc>
          <w:tcPr>
            <w:tcW w:type="dxa" w:w="3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800 nm (Ti:Sapphire CPA)</w:t>
            </w:r>
          </w:p>
        </w:tc>
        <w:tc>
          <w:tcPr>
            <w:tcW w:type="dxa" w:w="37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Standard ultra-short pulse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Pulse width</w:t>
            </w:r>
          </w:p>
        </w:tc>
        <w:tc>
          <w:tcPr>
            <w:tcW w:type="dxa" w:w="3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 fs – 1 ps</w:t>
            </w:r>
          </w:p>
        </w:tc>
        <w:tc>
          <w:tcPr>
            <w:tcW w:type="dxa" w:w="37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Non-thermal electron acceleration</w:t>
            </w:r>
          </w:p>
        </w:tc>
      </w:tr>
      <w:tr>
        <w:tc>
          <w:tcPr>
            <w:tcW w:type="dxa" w:w="28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Peak intensity</w:t>
            </w:r>
          </w:p>
        </w:tc>
        <w:tc>
          <w:tcPr>
            <w:tcW w:type="dxa" w:w="3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10¹⁸ – 10²⁰ W/cm²</w:t>
            </w:r>
          </w:p>
        </w:tc>
        <w:tc>
          <w:tcPr>
            <w:tcW w:type="dxa" w:w="37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Relativistic plasma regime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Relativistic threshold</w:t>
            </w:r>
          </w:p>
        </w:tc>
        <w:tc>
          <w:tcPr>
            <w:tcW w:type="dxa" w:w="3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~2.1 × 10¹⁸ W/cm² (800 nm)</w:t>
            </w:r>
          </w:p>
        </w:tc>
        <w:tc>
          <w:tcPr>
            <w:tcW w:type="dxa" w:w="37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I_rel = 1.37×10¹⁸/λ[μm]²</w:t>
            </w:r>
          </w:p>
        </w:tc>
      </w:tr>
      <w:tr>
        <w:tc>
          <w:tcPr>
            <w:tcW w:type="dxa" w:w="28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Proton energy (TNSA)</w:t>
            </w:r>
          </w:p>
        </w:tc>
        <w:tc>
          <w:tcPr>
            <w:tcW w:type="dxa" w:w="3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– 100 MeV</w:t>
            </w:r>
          </w:p>
        </w:tc>
        <w:tc>
          <w:tcPr>
            <w:tcW w:type="dxa" w:w="37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Exceeds p-B11 resonance (675 keV)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Energy/pulse</w:t>
            </w:r>
          </w:p>
        </w:tc>
        <w:tc>
          <w:tcPr>
            <w:tcW w:type="dxa" w:w="3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– 100 J</w:t>
            </w:r>
          </w:p>
        </w:tc>
        <w:tc>
          <w:tcPr>
            <w:tcW w:type="dxa" w:w="37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PW-class facility required</w:t>
            </w:r>
          </w:p>
        </w:tc>
      </w:tr>
      <w:tr>
        <w:tc>
          <w:tcPr>
            <w:tcW w:type="dxa" w:w="28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DAC state</w:t>
            </w:r>
          </w:p>
        </w:tc>
        <w:tc>
          <w:tcPr>
            <w:tcW w:type="dxa" w:w="3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Single-shot destructive</w:t>
            </w:r>
          </w:p>
        </w:tc>
        <w:tc>
          <w:tcPr>
            <w:tcW w:type="dxa" w:w="37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Pre-compressed ignition</w:t>
            </w:r>
          </w:p>
        </w:tc>
      </w:tr>
    </w:tbl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Target Normal Sheath Acceleration (TNSA) proton energy: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E_p ~ Z_eff × k_B T_e,   where T_e ~ 1–10 MeV  at  I ~ 10¹⁹ W/cm²</w:t>
      </w:r>
    </w:p>
    <w:p>
      <w:pPr>
        <w:pStyle w:val="Heading1"/>
        <w:spacing w:after="200" w:before="400"/>
      </w:pPr>
      <w:r>
        <w:t xml:space="preserve">6. Diagnostic Instrumentation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Observable</w:t>
            </w:r>
          </w:p>
        </w:tc>
        <w:tc>
          <w:tcPr>
            <w:tcW w:type="dxa" w:w="30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Instrument</w:t>
            </w:r>
          </w:p>
        </w:tc>
        <w:tc>
          <w:tcPr>
            <w:tcW w:type="dxa" w:w="32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Target Quantity</w:t>
            </w:r>
          </w:p>
        </w:tc>
        <w:tc>
          <w:tcPr>
            <w:tcW w:type="dxa" w:w="16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2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Alpha particles (⁴He)</w:t>
            </w:r>
          </w:p>
        </w:tc>
        <w:tc>
          <w:tcPr>
            <w:tcW w:type="dxa" w:w="3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CR-39 SSNTD</w:t>
            </w:r>
          </w:p>
        </w:tc>
        <w:tc>
          <w:tcPr>
            <w:tcW w:type="dxa" w:w="32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Nuclear reaction evidence</w:t>
            </w:r>
          </w:p>
        </w:tc>
        <w:tc>
          <w:tcPr>
            <w:tcW w:type="dxa" w:w="16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X-ray emission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Curved crystal spectrometer</w:t>
            </w:r>
          </w:p>
        </w:tc>
        <w:tc>
          <w:tcPr>
            <w:tcW w:type="dxa" w:w="32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Electron temperature T_e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22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Neutron flux</w:t>
            </w:r>
          </w:p>
        </w:tc>
        <w:tc>
          <w:tcPr>
            <w:tcW w:type="dxa" w:w="3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³He proportional counter</w:t>
            </w:r>
          </w:p>
        </w:tc>
        <w:tc>
          <w:tcPr>
            <w:tcW w:type="dxa" w:w="32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Confirm near-zero (aneutronic)</w:t>
            </w:r>
          </w:p>
        </w:tc>
        <w:tc>
          <w:tcPr>
            <w:tcW w:type="dxa" w:w="16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Static pressure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Ruby fluorescence (R1 line)</w:t>
            </w:r>
          </w:p>
        </w:tc>
        <w:tc>
          <w:tcPr>
            <w:tcW w:type="dxa" w:w="32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 situ P calibration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22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Temperature (&gt; 10⁴ K)</w:t>
            </w:r>
          </w:p>
        </w:tc>
        <w:tc>
          <w:tcPr>
            <w:tcW w:type="dxa" w:w="3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Two-color pyrometry</w:t>
            </w:r>
          </w:p>
        </w:tc>
        <w:tc>
          <w:tcPr>
            <w:tcW w:type="dxa" w:w="32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Shock temperature</w:t>
            </w:r>
          </w:p>
        </w:tc>
        <w:tc>
          <w:tcPr>
            <w:tcW w:type="dxa" w:w="16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Plasma emission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Time-resolved spectroscopy</w:t>
            </w:r>
          </w:p>
        </w:tc>
        <w:tc>
          <w:tcPr>
            <w:tcW w:type="dxa" w:w="32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B, N, He line identification</w:t>
            </w:r>
          </w:p>
        </w:tc>
        <w:tc>
          <w:tcPr>
            <w:tcW w:type="dxa" w:w="16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22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Shock velocity</w:t>
            </w:r>
          </w:p>
        </w:tc>
        <w:tc>
          <w:tcPr>
            <w:tcW w:type="dxa" w:w="3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VISAR (velocity interferometer)</w:t>
            </w:r>
          </w:p>
        </w:tc>
        <w:tc>
          <w:tcPr>
            <w:tcW w:type="dxa" w:w="32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Hugoniot equation of state</w:t>
            </w:r>
          </w:p>
        </w:tc>
        <w:tc>
          <w:tcPr>
            <w:tcW w:type="dxa" w:w="16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1"/>
        <w:spacing w:after="200" w:before="400"/>
      </w:pPr>
      <w:r>
        <w:t xml:space="preserve">7. Safety Protocols and Ethical Considerations</w:t>
      </w:r>
    </w:p>
    <w:p>
      <w:pPr>
        <w:pStyle w:val="Heading2"/>
        <w:spacing w:after="160" w:before="300"/>
      </w:pPr>
      <w:r>
        <w:t xml:space="preserve">7.1 Radiation Safety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p-B11 is nominally aneutronic; however, secondary reactions (¹¹B + ⁴He → ¹⁴N + n) may produce low-level neutron flux. A ³He detector array must be deployed.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X-ray emission from laser–plasma interaction requires lead shielding (≥ 5 mm Pb equivalent) around the DAC chamber.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Phase 3 experiments require operation in a laser-hardened target chamber with remote diagnostics.</w:t>
      </w:r>
    </w:p>
    <w:p>
      <w:pPr>
        <w:spacing w:after="80"/>
      </w:pPr>
    </w:p>
    <w:p>
      <w:pPr>
        <w:pStyle w:val="Heading2"/>
        <w:spacing w:after="160" w:before="300"/>
      </w:pPr>
      <w:r>
        <w:t xml:space="preserve">7.2 Laser Safety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Class 4 laser operations throughout. Laser safety officer (LSO) designation required.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Phase 3 requires PW-class facility safety protocols (ELI, LFEX, or equivalent national laboratory).</w:t>
      </w:r>
    </w:p>
    <w:p>
      <w:pPr>
        <w:spacing w:after="80"/>
      </w:pPr>
    </w:p>
    <w:p>
      <w:pPr>
        <w:pStyle w:val="Heading2"/>
        <w:spacing w:after="160" w:before="300"/>
      </w:pPr>
      <w:r>
        <w:t xml:space="preserve">7.3 Material Handling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cBN micro-powder (&lt; 1 μm) presents inhalation risk. All loading operations under laminar flow hood with P100 respiratory protection.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Rhenium gasket handling: standard metal safety procedures apply.</w:t>
      </w:r>
    </w:p>
    <w:p>
      <w:pPr>
        <w:pStyle w:val="Heading1"/>
        <w:spacing w:after="200" w:before="400"/>
      </w:pPr>
      <w:r>
        <w:t xml:space="preserve">8. Open Data and Reproducibility Framework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experimental data, analysis scripts, and simulation inputs will be deposited on Zenodo under DOI reservation prior to data collection, following the Open Science Framework (OSF) pre-registration model.</w:t>
      </w:r>
    </w:p>
    <w:p>
      <w:pPr>
        <w:spacing w:after="8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0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2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Experimental raw data</w:t>
            </w:r>
          </w:p>
        </w:tc>
        <w:tc>
          <w:tcPr>
            <w:tcW w:type="dxa" w:w="2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HDF5 / CSV</w:t>
            </w:r>
          </w:p>
        </w:tc>
        <w:tc>
          <w:tcPr>
            <w:tcW w:type="dxa" w:w="2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Zenodo</w:t>
            </w:r>
          </w:p>
        </w:tc>
        <w:tc>
          <w:tcPr>
            <w:tcW w:type="dxa" w:w="1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CC BY 4.0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Analysis scripts</w:t>
            </w:r>
          </w:p>
        </w:tc>
        <w:tc>
          <w:tcPr>
            <w:tcW w:type="dxa" w:w="20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Python (NumPy/SciPy)</w:t>
            </w:r>
          </w:p>
        </w:tc>
        <w:tc>
          <w:tcPr>
            <w:tcW w:type="dxa" w:w="20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GitHub (kiki054-n)</w:t>
            </w:r>
          </w:p>
        </w:tc>
        <w:tc>
          <w:tcPr>
            <w:tcW w:type="dxa" w:w="1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Laser parameter logs</w:t>
            </w:r>
          </w:p>
        </w:tc>
        <w:tc>
          <w:tcPr>
            <w:tcW w:type="dxa" w:w="2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JSON</w:t>
            </w:r>
          </w:p>
        </w:tc>
        <w:tc>
          <w:tcPr>
            <w:tcW w:type="dxa" w:w="2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Zenodo</w:t>
            </w:r>
          </w:p>
        </w:tc>
        <w:tc>
          <w:tcPr>
            <w:tcW w:type="dxa" w:w="1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CC BY 4.0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CR-39 scan images</w:t>
            </w:r>
          </w:p>
        </w:tc>
        <w:tc>
          <w:tcPr>
            <w:tcW w:type="dxa" w:w="20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TIFF (16-bit)</w:t>
            </w:r>
          </w:p>
        </w:tc>
        <w:tc>
          <w:tcPr>
            <w:tcW w:type="dxa" w:w="20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Zenodo</w:t>
            </w:r>
          </w:p>
        </w:tc>
        <w:tc>
          <w:tcPr>
            <w:tcW w:type="dxa" w:w="1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CC BY 4.0</w:t>
            </w:r>
          </w:p>
        </w:tc>
      </w:tr>
      <w:tr>
        <w:tc>
          <w:tcPr>
            <w:tcW w:type="dxa" w:w="2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Pressure–temperature tables</w:t>
            </w:r>
          </w:p>
        </w:tc>
        <w:tc>
          <w:tcPr>
            <w:tcW w:type="dxa" w:w="2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CSV + LaTeX</w:t>
            </w:r>
          </w:p>
        </w:tc>
        <w:tc>
          <w:tcPr>
            <w:tcW w:type="dxa" w:w="2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Zenodo</w:t>
            </w:r>
          </w:p>
        </w:tc>
        <w:tc>
          <w:tcPr>
            <w:tcW w:type="dxa" w:w="1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CC BY 4.0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DFT simulation inputs</w:t>
            </w:r>
          </w:p>
        </w:tc>
        <w:tc>
          <w:tcPr>
            <w:tcW w:type="dxa" w:w="20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Quantum ESPRESSO .in</w:t>
            </w:r>
          </w:p>
        </w:tc>
        <w:tc>
          <w:tcPr>
            <w:tcW w:type="dxa" w:w="20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GitHub / Zenodo</w:t>
            </w:r>
          </w:p>
        </w:tc>
        <w:tc>
          <w:tcPr>
            <w:tcW w:type="dxa" w:w="1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</w:t>
            </w:r>
          </w:p>
        </w:tc>
      </w:tr>
    </w:tbl>
    <w:p>
      <w:pPr>
        <w:spacing w:after="80"/>
      </w:pP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Python verification scripts consistent with the TTT Verification Notes methodology (Zenodo, Kawakami N., 2024) will be provided for all numerical claims in this proposal.</w:t>
      </w:r>
    </w:p>
    <w:p>
      <w:pPr>
        <w:pStyle w:val="Heading1"/>
        <w:spacing w:after="200" w:before="400"/>
      </w:pPr>
      <w:r>
        <w:t xml:space="preserve">9. Proposed Timeline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8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7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Facility</w:t>
            </w:r>
          </w:p>
        </w:tc>
      </w:tr>
      <w:tr>
        <w:tc>
          <w:tcPr>
            <w:tcW w:type="dxa" w:w="1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Preparation</w:t>
            </w:r>
          </w:p>
        </w:tc>
        <w:tc>
          <w:tcPr>
            <w:tcW w:type="dxa" w:w="4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cBN sample characterization; DAC fabrication; ruby calibration</w:t>
            </w:r>
          </w:p>
        </w:tc>
        <w:tc>
          <w:tcPr>
            <w:tcW w:type="dxa" w:w="18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months</w:t>
            </w:r>
          </w:p>
        </w:tc>
        <w:tc>
          <w:tcPr>
            <w:tcW w:type="dxa" w:w="27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NIMS / SPring-8</w:t>
            </w:r>
          </w:p>
        </w:tc>
      </w:tr>
      <w:tr>
        <w:tc>
          <w:tcPr>
            <w:tcW w:type="dxa" w:w="1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Phase 1</w:t>
            </w:r>
          </w:p>
        </w:tc>
        <w:tc>
          <w:tcPr>
            <w:tcW w:type="dxa" w:w="40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LHDAC + ns Nd:YAG; spectroscopy; pressure mapping</w:t>
            </w:r>
          </w:p>
        </w:tc>
        <w:tc>
          <w:tcPr>
            <w:tcW w:type="dxa" w:w="18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 months</w:t>
            </w:r>
          </w:p>
        </w:tc>
        <w:tc>
          <w:tcPr>
            <w:tcW w:type="dxa" w:w="27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NIMS / SPring-8</w:t>
            </w:r>
          </w:p>
        </w:tc>
      </w:tr>
      <w:tr>
        <w:tc>
          <w:tcPr>
            <w:tcW w:type="dxa" w:w="1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Phase 2</w:t>
            </w:r>
          </w:p>
        </w:tc>
        <w:tc>
          <w:tcPr>
            <w:tcW w:type="dxa" w:w="4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Shock superposition; VISAR; two-color pyrometry</w:t>
            </w:r>
          </w:p>
        </w:tc>
        <w:tc>
          <w:tcPr>
            <w:tcW w:type="dxa" w:w="18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 months</w:t>
            </w:r>
          </w:p>
        </w:tc>
        <w:tc>
          <w:tcPr>
            <w:tcW w:type="dxa" w:w="27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ILE Osaka / AIST</w:t>
            </w:r>
          </w:p>
        </w:tc>
      </w:tr>
      <w:tr>
        <w:tc>
          <w:tcPr>
            <w:tcW w:type="dxa" w:w="1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Phase 3</w:t>
            </w:r>
          </w:p>
        </w:tc>
        <w:tc>
          <w:tcPr>
            <w:tcW w:type="dxa" w:w="40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PW laser + pre-compressed DAC; CR-39; neutron monitoring</w:t>
            </w:r>
          </w:p>
        </w:tc>
        <w:tc>
          <w:tcPr>
            <w:tcW w:type="dxa" w:w="18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 months</w:t>
            </w:r>
          </w:p>
        </w:tc>
        <w:tc>
          <w:tcPr>
            <w:tcW w:type="dxa" w:w="27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LFEX (ILE Osaka)</w:t>
            </w:r>
          </w:p>
        </w:tc>
      </w:tr>
      <w:tr>
        <w:tc>
          <w:tcPr>
            <w:tcW w:type="dxa" w:w="1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Analysis</w:t>
            </w:r>
          </w:p>
        </w:tc>
        <w:tc>
          <w:tcPr>
            <w:tcW w:type="dxa" w:w="4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 curation; Zenodo deposit; manuscript preparation</w:t>
            </w:r>
          </w:p>
        </w:tc>
        <w:tc>
          <w:tcPr>
            <w:tcW w:type="dxa" w:w="18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months</w:t>
            </w:r>
          </w:p>
        </w:tc>
        <w:tc>
          <w:tcPr>
            <w:tcW w:type="dxa" w:w="27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Remote</w:t>
            </w:r>
          </w:p>
        </w:tc>
      </w:tr>
    </w:tbl>
    <w:p>
      <w:pPr>
        <w:pStyle w:val="Heading1"/>
        <w:spacing w:after="200" w:before="400"/>
      </w:pPr>
      <w:r>
        <w:t xml:space="preserve">10. Expected Outcomes and Success Criteria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Minimum Success Criterion</w:t>
            </w:r>
          </w:p>
        </w:tc>
        <w:tc>
          <w:tcPr>
            <w:tcW w:type="dxa" w:w="4000"/>
            <w:shd w:fill="2F5496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Stretch Goal</w:t>
            </w:r>
          </w:p>
        </w:tc>
      </w:tr>
      <w:tr>
        <w:tc>
          <w:tcPr>
            <w:tcW w:type="dxa" w:w="1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Phase 1</w:t>
            </w:r>
          </w:p>
        </w:tc>
        <w:tc>
          <w:tcPr>
            <w:tcW w:type="dxa" w:w="4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 and N plasma emission lines confirmed by OES</w:t>
            </w:r>
          </w:p>
        </w:tc>
        <w:tc>
          <w:tcPr>
            <w:tcW w:type="dxa" w:w="4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Electron density ne &gt; 10²⁰ cm⁻³ measured</w:t>
            </w:r>
          </w:p>
        </w:tc>
      </w:tr>
      <w:tr>
        <w:tc>
          <w:tcPr>
            <w:tcW w:type="dxa" w:w="1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Phase 2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Shock pressure &gt; 1 TPa verified by VISAR</w:t>
            </w:r>
          </w:p>
        </w:tc>
        <w:tc>
          <w:tcPr>
            <w:tcW w:type="dxa" w:w="4000"/>
            <w:shd w:fill="FFFFFF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 &gt; 10⁶ K confirmed by X-ray spectroscopy</w:t>
            </w:r>
          </w:p>
        </w:tc>
      </w:tr>
      <w:tr>
        <w:tc>
          <w:tcPr>
            <w:tcW w:type="dxa" w:w="1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Phase 3</w:t>
            </w:r>
          </w:p>
        </w:tc>
        <w:tc>
          <w:tcPr>
            <w:tcW w:type="dxa" w:w="45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Alpha particle tracks detected in CR-39 above background</w:t>
            </w:r>
          </w:p>
        </w:tc>
        <w:tc>
          <w:tcPr>
            <w:tcW w:type="dxa" w:w="4000"/>
            <w:shd w:fill="EBF3FB" w:color="auto" w:val="clea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Quantitative yield consistent with p-B11 cross-section at 675 keV</w:t>
            </w:r>
          </w:p>
        </w:tc>
      </w:tr>
    </w:tbl>
    <w:p>
      <w:pPr>
        <w:pStyle w:val="Heading1"/>
        <w:spacing w:after="200" w:before="400"/>
      </w:pPr>
      <w:r>
        <w:t xml:space="preserve">11. Key References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Hora, H. et al. (2017). Laser-boron fusion now possible. Laser and Particle Beams, 35(4), 730–740.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Laplace, A. et al. (2021). Nuclear excitation of ¹¹B(p,3α) at relativistic laser intensities. Physical Review E, 103, L051202.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Mao, H.K. &amp; Hemley, R.J. (1994). Ultrahigh-pressure transitions in solid hydrogen. Reviews of Modern Physics, 66, 671.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Wilks, S.C. et al. (2001). Energetic proton generation in ultra-intense laser–solid interactions. Physics of Plasmas, 8, 542.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Keldysh, L.V. (1965). Ionization in the field of a strong electromagnetic wave. JETP, 20, 1307.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Kawakami, N. (2024). TTT Verification Notes v1.0. Zenodo. https://doi.org/10.5281/zenodo.XXXXXXX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Dubrovinsky, L. et al. (2022). The most incompressible metal osmium at static pressures above 750 GPa. Nature, 525, 226–229.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Acknowledgments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author thanks the open-science community and the Zenodo platform for enabling independent research dissemination. This work was conceived and developed independently without institutional funding. All computations and theoretical estimates were performed using open-source tools (Python, NumPy, SciPy, Quantum ESPRESSO).</w:t>
      </w:r>
    </w:p>
    <w:p>
      <w:pPr>
        <w:spacing w:after="80"/>
      </w:pPr>
    </w:p>
    <w:p>
      <w:pPr>
        <w:pBdr>
          <w:top w:val="single" w:color="2F5496" w:sz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Author Correspondence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Kawakami Naoyuki (川上 真潔)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Berry Beads Winery / Team Shiojiri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Shiojiri, Nagano, Japan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ORCID: 0009-0009-2972-6511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GitHub: https://github.com/kiki054-n</w:t>
      </w:r>
    </w:p>
    <w:sectPr>
      <w:headerReference w:type="default" r:id="rId7"/>
      <w:footerReference w:type="default" r:id="rId8"/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F5496" w:sz="6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© 2025 Kawakami Naoyuki (川上真潔)  |  CC BY 4.0  |  Page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6"/>
      </w:pBdr>
      <w:jc w:val="right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EXPERIMENTAL PROPOSAL — PREPRINT  |  Zenodo Submission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lineRule="auto"/>
    </w:pPr>
    <w:rPr>
      <w:rFonts w:ascii="Times New Roman" w:cs="Times New Roman" w:eastAsia="Times New Roman" w:hAnsi="Times New Roman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2026-07-20T19:01:36.967Z</dcterms:created>
  <dcterms:modified xsi:type="dcterms:W3CDTF">2026-07-20T19:01:36.979Z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