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spacing w:after="360"/>
        <w:jc w:val="center"/>
      </w:pPr>
      <w:r>
        <w:rPr>
          <w:rFonts w:ascii="Microsoft YaHei" w:hAnsi="Microsoft YaHei" w:eastAsia="Microsoft YaHei"/>
          <w:b/>
          <w:color w:val="C58A00"/>
          <w:sz w:val="22"/>
        </w:rPr>
        <w:t>产品战略与系统蓝图</w:t>
      </w:r>
    </w:p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17365D"/>
          <w:sz w:val="56"/>
        </w:rPr>
        <w:t>自主 MES 产品规划与流程架构</w:t>
      </w:r>
    </w:p>
    <w:p>
      <w:pPr>
        <w:pStyle w:val="Subtitle"/>
        <w:jc w:val="center"/>
      </w:pPr>
      <w:r>
        <w:rPr>
          <w:rFonts w:ascii="Microsoft YaHei" w:hAnsi="Microsoft YaHei" w:eastAsia="Microsoft YaHei"/>
          <w:b w:val="0"/>
          <w:color w:val="5B6573"/>
          <w:sz w:val="28"/>
        </w:rPr>
        <w:t>面向机械加工与装备制造的多模型、多 Agent 自主生产运营平台</w:t>
      </w:r>
    </w:p>
    <w:p>
      <w:pPr>
        <w:spacing w:after="80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2E74B5"/>
                <w:sz w:val="22"/>
              </w:rPr>
              <w:t>北极星定义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365D"/>
                <w:sz w:val="21"/>
              </w:rPr>
              <w:t>以 MES 为可信执行底座，以数字孪生为验证环境，以多 Agent 为生产组织者，以策略、权限和人类审批保障安全，让系统从记录生产升级为受控地组织生产。</w:t>
            </w:r>
          </w:p>
        </w:tc>
      </w:tr>
    </w:tbl>
    <w:p>
      <w:pPr>
        <w:spacing w:after="20"/>
      </w:pPr>
    </w:p>
    <w:p>
      <w:pPr>
        <w:spacing w:after="640"/>
      </w:pPr>
    </w:p>
    <w:p>
      <w:pPr>
        <w:jc w:val="center"/>
      </w:pPr>
      <w:r>
        <w:rPr>
          <w:rFonts w:ascii="Microsoft YaHei" w:hAnsi="Microsoft YaHei" w:eastAsia="Microsoft YaHei"/>
          <w:b w:val="0"/>
          <w:color w:val="5B6573"/>
          <w:sz w:val="20"/>
        </w:rPr>
        <w:t>规划版本 V1.0  |  2026-08-30  |  概念规划稿</w:t>
      </w:r>
    </w:p>
    <w:p>
      <w:r>
        <w:br w:type="page"/>
      </w:r>
    </w:p>
    <w:p>
      <w:pPr>
        <w:pStyle w:val="Heading1"/>
      </w:pPr>
      <w:r>
        <w:t>文档导读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本文件用于统一产品愿景、技术架构、业务闭环、实施路径和商业预期，既可作为产品立项材料，也可作为后续 PRD、技术方案、试点方案和融资材料的上位蓝图。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C58A00"/>
                <w:sz w:val="22"/>
              </w:rPr>
              <w:t>核心判断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365D"/>
                <w:sz w:val="21"/>
              </w:rPr>
              <w:t>本产品具有形成新一代工业软件范式的潜力，但革命性不来自“MES + AI”，而来自工厂能否安全地把一部分日常生产决策权交给系统，并持续获得可量化收益。</w:t>
            </w:r>
          </w:p>
        </w:tc>
      </w:tr>
    </w:tbl>
    <w:p>
      <w:pPr>
        <w:spacing w:after="20"/>
      </w:pPr>
    </w:p>
    <w:p>
      <w:pPr>
        <w:pStyle w:val="Heading2"/>
      </w:pPr>
      <w:r>
        <w:t>目录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1. 战略定位与产品愿景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2. 目标客户、问题与价值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3. 自主生产业务闭环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4. 总体系统与流程架构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5. 模型组合与模型路由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6. 多 Agent 组织结构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7. 数据、数字孪生与集成底座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8. 自主权、安全与治理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9. 产品功能规划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10. 分阶段实施路线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11. 可实现度评估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12. 收益预判与 ROI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13. 试点设计与验收指标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14. 核心风险与应对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15. 下一步工作计划</w:t>
      </w:r>
    </w:p>
    <w:p>
      <w:r>
        <w:br w:type="page"/>
      </w:r>
    </w:p>
    <w:p>
      <w:pPr>
        <w:pStyle w:val="Heading1"/>
      </w:pPr>
      <w:r>
        <w:t>1. 战略定位与产品愿景</w:t>
      </w:r>
    </w:p>
    <w:p>
      <w:pPr>
        <w:pStyle w:val="Heading2"/>
      </w:pPr>
      <w:r>
        <w:t>1.1 产品定义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产品暂定定位：面向多品种、小批量机械加工与装备制造的自主生产运营平台（Agentic / Autonomous MES）。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它不是在传统 MES 页面上增加聊天入口，而是把生产目标、制造事件、专业模型、优化求解、数字孪生和受控执行组织成持续运行的决策闭环。</w:t>
      </w:r>
    </w:p>
    <w:p>
      <w:pPr>
        <w:pStyle w:val="Heading2"/>
      </w:pPr>
      <w:r>
        <w:t>1.2 范式变化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传统 MES</w:t>
            </w:r>
          </w:p>
        </w:tc>
        <w:tc>
          <w:tcPr>
            <w:tcW w:type="dxa" w:w="468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自主 MES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人制定计划，系统记录结果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人定义目标与边界，系统持续组织生产</w:t>
            </w:r>
          </w:p>
        </w:tc>
      </w:tr>
      <w:tr>
        <w:tc>
          <w:tcPr>
            <w:tcW w:type="dxa" w:w="468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依赖菜单和人工操作</w:t>
            </w:r>
          </w:p>
        </w:tc>
        <w:tc>
          <w:tcPr>
            <w:tcW w:type="dxa" w:w="468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以事件触发 Agent，自主调用工具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报表回答发生了什么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系统进一步诊断原因、预测后果和执行方案</w:t>
            </w:r>
          </w:p>
        </w:tc>
      </w:tr>
      <w:tr>
        <w:tc>
          <w:tcPr>
            <w:tcW w:type="dxa" w:w="468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异常由人发现和协调</w:t>
            </w:r>
          </w:p>
        </w:tc>
        <w:tc>
          <w:tcPr>
            <w:tcW w:type="dxa" w:w="468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系统主动发现、仿真、处置并验证效果</w:t>
            </w:r>
          </w:p>
        </w:tc>
      </w:tr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经验存在于个人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经验沉淀为知识、策略、模型和决策轨迹</w:t>
            </w:r>
          </w:p>
        </w:tc>
      </w:tr>
    </w:tbl>
    <w:p>
      <w:pPr>
        <w:spacing w:after="20"/>
      </w:pPr>
    </w:p>
    <w:p>
      <w:pPr>
        <w:pStyle w:val="Heading2"/>
      </w:pPr>
      <w:r>
        <w:t>1.3 革命性成立条件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建议必须进入可执行闭环，而不只是生成报告。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每项动作必须可解释、可授权、可审计和可回滚。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不同工厂部署必须逐步标准化，不能完全依赖驻场定制。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必须通过准交率、吞吐、停机、质量、WIP和人工效率证明经济价值。</w:t>
      </w:r>
    </w:p>
    <w:p>
      <w:pPr>
        <w:pStyle w:val="Heading1"/>
      </w:pPr>
      <w:r>
        <w:t>2. 目标客户、问题与价值</w:t>
      </w:r>
    </w:p>
    <w:p>
      <w:pPr>
        <w:pStyle w:val="Heading2"/>
      </w:pPr>
      <w:r>
        <w:t>2.1 优先客户画像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机械加工、精密零件、模具、工装、航空航天零部件及复杂装备制造企业。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多品种、小批量、订单变化快，存在频繁插单、返工、设备故障和物料波动。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拥有 10 台以上数控设备，工艺路线、刀具夹具和人员资质约束明显。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已有 ERP 或基础 MES，但现场数据割裂、计划失真、异常处理依赖个人。</w:t>
      </w:r>
    </w:p>
    <w:p>
      <w:pPr>
        <w:pStyle w:val="Heading2"/>
      </w:pPr>
      <w:r>
        <w:t>2.2 关键业务问题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30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传统方式</w:t>
            </w:r>
          </w:p>
        </w:tc>
        <w:tc>
          <w:tcPr>
            <w:tcW w:type="dxa" w:w="456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自主 MES 目标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工时不准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按标准工时或经验估算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基于历史、几何、设备和人员动态预测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插单与停机</w:t>
            </w:r>
          </w:p>
        </w:tc>
        <w:tc>
          <w:tcPr>
            <w:tcW w:type="dxa" w:w="30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计划员手工反复调整</w:t>
            </w:r>
          </w:p>
        </w:tc>
        <w:tc>
          <w:tcPr>
            <w:tcW w:type="dxa" w:w="456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数分钟内生成并仿真重排方案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质量异常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检验后再调查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预测风险、冻结影响范围并追加检验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设备与刀具</w:t>
            </w:r>
          </w:p>
        </w:tc>
        <w:tc>
          <w:tcPr>
            <w:tcW w:type="dxa" w:w="30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定期维护、固定寿命</w:t>
            </w:r>
          </w:p>
        </w:tc>
        <w:tc>
          <w:tcPr>
            <w:tcW w:type="dxa" w:w="456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基于状态和任务动态安排维护与换刀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工艺知识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依赖老师傅和分散文档</w:t>
            </w:r>
          </w:p>
        </w:tc>
        <w:tc>
          <w:tcPr>
            <w:tcW w:type="dxa" w:w="4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图纸解析、相似案例检索、经验复用</w:t>
            </w:r>
          </w:p>
        </w:tc>
      </w:tr>
    </w:tbl>
    <w:p>
      <w:pPr>
        <w:spacing w:after="20"/>
      </w:pPr>
    </w:p>
    <w:p>
      <w:pPr>
        <w:pStyle w:val="Heading2"/>
      </w:pPr>
      <w:r>
        <w:t>2.3 北极星价值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9F5F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2F8F9D"/>
                <w:sz w:val="22"/>
              </w:rPr>
              <w:t>核心价值主张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365D"/>
                <w:sz w:val="21"/>
              </w:rPr>
              <w:t>任何插单、停机、缺料、返工或质量风险发生后，系统在数分钟内给出经过约束检查和仿真的调整方案；低风险场景自动执行，高风险场景只需管理者批准。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自主生产业务闭环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2686812"/>
            <wp:docPr id="1" name="Picture 1" descr="自主生产闭环：感知、诊断、预测、规划、仿真、执行、学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sed-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86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5B6573"/>
          <w:sz w:val="18"/>
        </w:rPr>
        <w:t>图 1  自主生产从感知到学习的闭环</w:t>
      </w:r>
    </w:p>
    <w:p>
      <w:pPr>
        <w:pStyle w:val="Heading2"/>
      </w:pPr>
      <w:r>
        <w:t>3.1 示例：关键机床异常后的自动调控</w:t>
      </w:r>
    </w:p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设备 Agent 识别主轴振动、负载和温升的异常组合，并判断风险等级。</w:t>
      </w:r>
    </w:p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质量 Agent 追溯异常时间窗内的工单、序列号、刀具和关键尺寸，自动冻结潜在影响产品。</w:t>
      </w:r>
    </w:p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维护 Agent 创建维护任务，检查人员、备件和最小影响维护窗口。</w:t>
      </w:r>
    </w:p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排产 Agent 寻找可替代设备，验证精度、行程、程序、刀具夹具和人员资质。</w:t>
      </w:r>
    </w:p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优化器与数字孪生比较交期、成本、换型、加班和质量风险。</w:t>
      </w:r>
    </w:p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策略引擎根据影响范围决定自动执行或提交审批。</w:t>
      </w:r>
    </w:p>
    <w:p>
      <w:pPr>
        <w:pStyle w:val="ListNumber"/>
        <w:spacing w:after="10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MES 工具完成暂停、转移、追加检验、维修派工和通知，并持续验证结果。</w:t>
      </w:r>
    </w:p>
    <w:p>
      <w:pPr>
        <w:pStyle w:val="Heading2"/>
      </w:pPr>
      <w:r>
        <w:t>3.2 实时控制边界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CECEC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A33A3A"/>
                <w:sz w:val="22"/>
              </w:rPr>
              <w:t>安全边界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365D"/>
                <w:sz w:val="21"/>
              </w:rPr>
              <w:t>Agent 可以调控工单、队列、检验、维护、物料和资源，但不得绕过 PLC/CNC 安全联锁。毫秒级运动控制、轴动作和安全停机继续由确定性控制系统负责。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4. 总体系统与流程架构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4128516"/>
            <wp:docPr id="2" name="Picture 2" descr="目标事件、Agent、混合模型、决策验证、治理执行五层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128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5B6573"/>
          <w:sz w:val="18"/>
        </w:rPr>
        <w:t>图 2  自主 MES 总体架构</w:t>
      </w:r>
    </w:p>
    <w:p>
      <w:pPr>
        <w:pStyle w:val="Heading2"/>
      </w:pPr>
      <w:r>
        <w:t>4.1 架构原则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事件驱动：订单、设备、质量和物料变化主动触发 Agent。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混合智能：大模型负责理解与协调，专业模型负责预测，优化器负责求解。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工具化执行：Agent 只能通过受控 MES API 行动，不直接修改数据库。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仿真优先：高影响决策先在数字孪生中验证，再进入审批或执行。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边云协同：低延迟视觉和时序模型部署在边缘，跨工厂模型和知识在中心运行。</w:t>
      </w:r>
    </w:p>
    <w:p>
      <w:r>
        <w:br w:type="page"/>
      </w:r>
    </w:p>
    <w:p>
      <w:pPr>
        <w:pStyle w:val="Heading1"/>
      </w:pPr>
      <w:r>
        <w:t>5. 模型组合与模型路由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不存在一种模型可以完成全部工业任务。产品需要模型路由器根据输入模态、任务类型、时效、风险、成本和数据位置选择最合适的模型。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260"/>
        <w:gridCol w:w="4200"/>
      </w:tblGrid>
      <w:tr>
        <w:trPr>
          <w:tblHeader w:val="true"/>
        </w:trPr>
        <w:tc>
          <w:tcPr>
            <w:tcW w:type="dxa" w:w="19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326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主要模型/算法</w:t>
            </w:r>
          </w:p>
        </w:tc>
        <w:tc>
          <w:tcPr>
            <w:tcW w:type="dxa" w:w="42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输出与用途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Agent中枢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多模态大模型、RAG、工具调用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理解目标、任务拆解、调用模型和工具、解释方案</w:t>
            </w:r>
          </w:p>
        </w:tc>
      </w:tr>
      <w:tr>
        <w:tc>
          <w:tcPr>
            <w:tcW w:type="dxa" w:w="19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图纸与工艺</w:t>
            </w:r>
          </w:p>
        </w:tc>
        <w:tc>
          <w:tcPr>
            <w:tcW w:type="dxa" w:w="326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VLM + OCR + CAD/STEP解析</w:t>
            </w:r>
          </w:p>
        </w:tc>
        <w:tc>
          <w:tcPr>
            <w:tcW w:type="dxa" w:w="42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尺寸公差、几何特征、工艺要求、相似零件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工时与交期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LightGBM、CatBoost、表格Transformer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实际工时、完工时间和延期概率</w:t>
            </w:r>
          </w:p>
        </w:tc>
      </w:tr>
      <w:tr>
        <w:tc>
          <w:tcPr>
            <w:tcW w:type="dxa" w:w="19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设备与刀具</w:t>
            </w:r>
          </w:p>
        </w:tc>
        <w:tc>
          <w:tcPr>
            <w:tcW w:type="dxa" w:w="326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信号处理 + TCN/Transformer/Autoencoder</w:t>
            </w:r>
          </w:p>
        </w:tc>
        <w:tc>
          <w:tcPr>
            <w:tcW w:type="dxa" w:w="42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异常评分、健康状态和剩余寿命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视觉质量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目标检测、分割、视觉异常检测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缺陷位置、类型和风险</w:t>
            </w:r>
          </w:p>
        </w:tc>
      </w:tr>
      <w:tr>
        <w:tc>
          <w:tcPr>
            <w:tcW w:type="dxa" w:w="19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根因分析</w:t>
            </w:r>
          </w:p>
        </w:tc>
        <w:tc>
          <w:tcPr>
            <w:tcW w:type="dxa" w:w="326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因果图、贝叶斯网络、过程挖掘</w:t>
            </w:r>
          </w:p>
        </w:tc>
        <w:tc>
          <w:tcPr>
            <w:tcW w:type="dxa" w:w="42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相关因素、因果假设和验证路径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动态排产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CP-SAT、MILP、启发式、多目标优化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满足硬约束的可执行排程</w:t>
            </w:r>
          </w:p>
        </w:tc>
      </w:tr>
      <w:tr>
        <w:tc>
          <w:tcPr>
            <w:tcW w:type="dxa" w:w="19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工艺优化</w:t>
            </w:r>
          </w:p>
        </w:tc>
        <w:tc>
          <w:tcPr>
            <w:tcW w:type="dxa" w:w="326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机理模型、MPC、贝叶斯优化</w:t>
            </w:r>
          </w:p>
        </w:tc>
        <w:tc>
          <w:tcPr>
            <w:tcW w:type="dxa" w:w="42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在验证边界内推荐或调整参数</w:t>
            </w:r>
          </w:p>
        </w:tc>
      </w:tr>
    </w:tbl>
    <w:p>
      <w:pPr>
        <w:spacing w:after="20"/>
      </w:pPr>
    </w:p>
    <w:p>
      <w:pPr>
        <w:pStyle w:val="Heading2"/>
      </w:pPr>
      <w:r>
        <w:t>5.1 模型选择原则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先用成熟通用模型与专业小模型验证价值，不从零训练工业大模型。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中小规模结构化数据优先考虑可解释、稳定的树模型。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高频设备信号先经过物理与信号处理，再进入时序模型。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排产由优化器求解，大模型只负责理解目标、生成约束和解释结果。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模型输出必须包含置信度、数据范围、版本和适用边界。</w:t>
      </w:r>
    </w:p>
    <w:p>
      <w:r>
        <w:br w:type="page"/>
      </w:r>
    </w:p>
    <w:p>
      <w:pPr>
        <w:pStyle w:val="Heading1"/>
      </w:pPr>
      <w:r>
        <w:t>6. 多 Agent 组织结构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920"/>
        <w:gridCol w:w="3380"/>
        <w:gridCol w:w="1760"/>
      </w:tblGrid>
      <w:tr>
        <w:trPr>
          <w:tblHeader w:val="true"/>
        </w:trPr>
        <w:tc>
          <w:tcPr>
            <w:tcW w:type="dxa" w:w="13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Agent</w:t>
            </w:r>
          </w:p>
        </w:tc>
        <w:tc>
          <w:tcPr>
            <w:tcW w:type="dxa" w:w="292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338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可调用工具</w:t>
            </w:r>
          </w:p>
        </w:tc>
        <w:tc>
          <w:tcPr>
            <w:tcW w:type="dxa" w:w="176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初始自治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生产指挥</w:t>
            </w:r>
          </w:p>
        </w:tc>
        <w:tc>
          <w:tcPr>
            <w:tcW w:type="dxa" w:w="2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协调交期、成本、质量和产能目标</w:t>
            </w:r>
          </w:p>
        </w:tc>
        <w:tc>
          <w:tcPr>
            <w:tcW w:type="dxa" w:w="33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查询全局状态、发起协同、升级冲突</w:t>
            </w:r>
          </w:p>
        </w:tc>
        <w:tc>
          <w:tcPr>
            <w:tcW w:type="dxa" w:w="1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L2</w:t>
            </w:r>
          </w:p>
        </w:tc>
      </w:tr>
      <w:tr>
        <w:tc>
          <w:tcPr>
            <w:tcW w:type="dxa" w:w="13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排产</w:t>
            </w:r>
          </w:p>
        </w:tc>
        <w:tc>
          <w:tcPr>
            <w:tcW w:type="dxa" w:w="292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插单、停机、返工后的动态重排</w:t>
            </w:r>
          </w:p>
        </w:tc>
        <w:tc>
          <w:tcPr>
            <w:tcW w:type="dxa" w:w="338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运行优化、调整队列、转移工序</w:t>
            </w:r>
          </w:p>
        </w:tc>
        <w:tc>
          <w:tcPr>
            <w:tcW w:type="dxa" w:w="176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L2→L3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工艺</w:t>
            </w:r>
          </w:p>
        </w:tc>
        <w:tc>
          <w:tcPr>
            <w:tcW w:type="dxa" w:w="2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图纸解析、路线和资源推荐</w:t>
            </w:r>
          </w:p>
        </w:tc>
        <w:tc>
          <w:tcPr>
            <w:tcW w:type="dxa" w:w="33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检索案例、生成草案、提交审核</w:t>
            </w:r>
          </w:p>
        </w:tc>
        <w:tc>
          <w:tcPr>
            <w:tcW w:type="dxa" w:w="1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L1→L2</w:t>
            </w:r>
          </w:p>
        </w:tc>
      </w:tr>
      <w:tr>
        <w:tc>
          <w:tcPr>
            <w:tcW w:type="dxa" w:w="13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质量</w:t>
            </w:r>
          </w:p>
        </w:tc>
        <w:tc>
          <w:tcPr>
            <w:tcW w:type="dxa" w:w="292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风险预测、防扩散、根因分析</w:t>
            </w:r>
          </w:p>
        </w:tc>
        <w:tc>
          <w:tcPr>
            <w:tcW w:type="dxa" w:w="338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冻结产品、追加检验、创建NCR</w:t>
            </w:r>
          </w:p>
        </w:tc>
        <w:tc>
          <w:tcPr>
            <w:tcW w:type="dxa" w:w="176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L3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设备</w:t>
            </w:r>
          </w:p>
        </w:tc>
        <w:tc>
          <w:tcPr>
            <w:tcW w:type="dxa" w:w="2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健康评估、能力和负荷管理</w:t>
            </w:r>
          </w:p>
        </w:tc>
        <w:tc>
          <w:tcPr>
            <w:tcW w:type="dxa" w:w="33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限制排产、发出预警、请求停机</w:t>
            </w:r>
          </w:p>
        </w:tc>
        <w:tc>
          <w:tcPr>
            <w:tcW w:type="dxa" w:w="1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L2→L3</w:t>
            </w:r>
          </w:p>
        </w:tc>
      </w:tr>
      <w:tr>
        <w:tc>
          <w:tcPr>
            <w:tcW w:type="dxa" w:w="13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刀具</w:t>
            </w:r>
          </w:p>
        </w:tc>
        <w:tc>
          <w:tcPr>
            <w:tcW w:type="dxa" w:w="292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寿命、齐套和换刀窗口</w:t>
            </w:r>
          </w:p>
        </w:tc>
        <w:tc>
          <w:tcPr>
            <w:tcW w:type="dxa" w:w="338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预留刀具、生成备刀、限制任务</w:t>
            </w:r>
          </w:p>
        </w:tc>
        <w:tc>
          <w:tcPr>
            <w:tcW w:type="dxa" w:w="176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L3</w:t>
            </w:r>
          </w:p>
        </w:tc>
      </w:tr>
      <w:tr>
        <w:tc>
          <w:tcPr>
            <w:tcW w:type="dxa" w:w="1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物料</w:t>
            </w:r>
          </w:p>
        </w:tc>
        <w:tc>
          <w:tcPr>
            <w:tcW w:type="dxa" w:w="2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齐套、缺料预测与配送</w:t>
            </w:r>
          </w:p>
        </w:tc>
        <w:tc>
          <w:tcPr>
            <w:tcW w:type="dxa" w:w="33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预留物料、请求配送、异常升级</w:t>
            </w:r>
          </w:p>
        </w:tc>
        <w:tc>
          <w:tcPr>
            <w:tcW w:type="dxa" w:w="1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L3</w:t>
            </w:r>
          </w:p>
        </w:tc>
      </w:tr>
      <w:tr>
        <w:tc>
          <w:tcPr>
            <w:tcW w:type="dxa" w:w="13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维护</w:t>
            </w:r>
          </w:p>
        </w:tc>
        <w:tc>
          <w:tcPr>
            <w:tcW w:type="dxa" w:w="292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维护计划、人员和备件协调</w:t>
            </w:r>
          </w:p>
        </w:tc>
        <w:tc>
          <w:tcPr>
            <w:tcW w:type="dxa" w:w="338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创建维护工单、安排窗口</w:t>
            </w:r>
          </w:p>
        </w:tc>
        <w:tc>
          <w:tcPr>
            <w:tcW w:type="dxa" w:w="176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L3</w:t>
            </w:r>
          </w:p>
        </w:tc>
      </w:tr>
    </w:tbl>
    <w:p>
      <w:pPr>
        <w:spacing w:after="20"/>
      </w:pPr>
    </w:p>
    <w:p>
      <w:pPr>
        <w:pStyle w:val="Heading2"/>
      </w:pPr>
      <w:r>
        <w:t>6.1 Agent协同规则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生产指挥 Agent 负责多目标冲突，不替代专业 Agent 的领域判断。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硬约束由规则和优化器执行，不能由大模型自由解释。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多个 Agent 对同一资源产生冲突时，进入仲裁流程并保留备选方案。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Agent 的权限按工厂、车间、设备、动作类型和风险等级最小化授予。</w:t>
      </w:r>
    </w:p>
    <w:p>
      <w:r>
        <w:br w:type="page"/>
      </w:r>
    </w:p>
    <w:p>
      <w:pPr>
        <w:pStyle w:val="Heading1"/>
      </w:pPr>
      <w:r>
        <w:t>7. 数据、数字孪生与集成底座</w:t>
      </w:r>
    </w:p>
    <w:p>
      <w:pPr>
        <w:pStyle w:val="Heading2"/>
      </w:pPr>
      <w:r>
        <w:t>7.1 统一制造上下文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AI 必须能够把某一时刻的设备信号关联到具体设备、工单、工序、产品序列号、材料批次、刀具、程序版本、人员和最终质量结果。没有这些上下文，传感器数据很难形成可执行价值。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80"/>
        <w:gridCol w:w="4080"/>
      </w:tblGrid>
      <w:tr>
        <w:trPr>
          <w:tblHeader w:val="true"/>
        </w:trPr>
        <w:tc>
          <w:tcPr>
            <w:tcW w:type="dxa" w:w="17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数据域</w:t>
            </w:r>
          </w:p>
        </w:tc>
        <w:tc>
          <w:tcPr>
            <w:tcW w:type="dxa" w:w="358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关键对象</w:t>
            </w:r>
          </w:p>
        </w:tc>
        <w:tc>
          <w:tcPr>
            <w:tcW w:type="dxa" w:w="408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核心要求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产品与工艺</w:t>
            </w:r>
          </w:p>
        </w:tc>
        <w:tc>
          <w:tcPr>
            <w:tcW w:type="dxa" w:w="3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产品、BOM、工艺路线、工序、图纸、程序</w:t>
            </w:r>
          </w:p>
        </w:tc>
        <w:tc>
          <w:tcPr>
            <w:tcW w:type="dxa" w:w="4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版本可追溯，变更可关联</w:t>
            </w:r>
          </w:p>
        </w:tc>
      </w:tr>
      <w:tr>
        <w:tc>
          <w:tcPr>
            <w:tcW w:type="dxa" w:w="17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生产执行</w:t>
            </w:r>
          </w:p>
        </w:tc>
        <w:tc>
          <w:tcPr>
            <w:tcW w:type="dxa" w:w="358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订单、工单、派工、报工、WIP、返工</w:t>
            </w:r>
          </w:p>
        </w:tc>
        <w:tc>
          <w:tcPr>
            <w:tcW w:type="dxa" w:w="408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事件时间准确，状态一致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资源</w:t>
            </w:r>
          </w:p>
        </w:tc>
        <w:tc>
          <w:tcPr>
            <w:tcW w:type="dxa" w:w="3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设备、人员、刀具、夹具、量具</w:t>
            </w:r>
          </w:p>
        </w:tc>
        <w:tc>
          <w:tcPr>
            <w:tcW w:type="dxa" w:w="4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能力、状态、资质和寿命结构化</w:t>
            </w:r>
          </w:p>
        </w:tc>
      </w:tr>
      <w:tr>
        <w:tc>
          <w:tcPr>
            <w:tcW w:type="dxa" w:w="17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质量</w:t>
            </w:r>
          </w:p>
        </w:tc>
        <w:tc>
          <w:tcPr>
            <w:tcW w:type="dxa" w:w="358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检验计划、测量值、缺陷、不合格处置</w:t>
            </w:r>
          </w:p>
        </w:tc>
        <w:tc>
          <w:tcPr>
            <w:tcW w:type="dxa" w:w="408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与产品和过程参数关联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设备时序</w:t>
            </w:r>
          </w:p>
        </w:tc>
        <w:tc>
          <w:tcPr>
            <w:tcW w:type="dxa" w:w="3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电流、振动、温度、负载、报警</w:t>
            </w:r>
          </w:p>
        </w:tc>
        <w:tc>
          <w:tcPr>
            <w:tcW w:type="dxa" w:w="40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边缘过滤、时间同步、语义化</w:t>
            </w:r>
          </w:p>
        </w:tc>
      </w:tr>
      <w:tr>
        <w:tc>
          <w:tcPr>
            <w:tcW w:type="dxa" w:w="17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决策轨迹</w:t>
            </w:r>
          </w:p>
        </w:tc>
        <w:tc>
          <w:tcPr>
            <w:tcW w:type="dxa" w:w="358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触发、方案、审批、执行、效果</w:t>
            </w:r>
          </w:p>
        </w:tc>
        <w:tc>
          <w:tcPr>
            <w:tcW w:type="dxa" w:w="408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可审计并可用于持续学习</w:t>
            </w:r>
          </w:p>
        </w:tc>
      </w:tr>
    </w:tbl>
    <w:p>
      <w:pPr>
        <w:spacing w:after="20"/>
      </w:pPr>
    </w:p>
    <w:p>
      <w:pPr>
        <w:pStyle w:val="Heading2"/>
      </w:pPr>
      <w:r>
        <w:t>7.2 集成范围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向上：ERP、PLM、APS、WMS、QMS、CMMS/EAM。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向下：SCADA、PLC、CNC、机器人、测量设备、视觉系统。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协议与通道：REST/gRPC、消息总线、OPC UA、MQTT、Modbus及设备厂商接口。</w:t>
      </w:r>
    </w:p>
    <w:p>
      <w:r>
        <w:br w:type="page"/>
      </w:r>
    </w:p>
    <w:p>
      <w:pPr>
        <w:pStyle w:val="Heading1"/>
      </w:pPr>
      <w:r>
        <w:t>8. 自主权、安全与治理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650"/>
        <w:gridCol w:w="3000"/>
        <w:gridCol w:w="1810"/>
      </w:tblGrid>
      <w:tr>
        <w:trPr>
          <w:tblHeader w:val="true"/>
        </w:trPr>
        <w:tc>
          <w:tcPr>
            <w:tcW w:type="dxa" w:w="9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等级</w:t>
            </w:r>
          </w:p>
        </w:tc>
        <w:tc>
          <w:tcPr>
            <w:tcW w:type="dxa" w:w="365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30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人员角色</w:t>
            </w:r>
          </w:p>
        </w:tc>
        <w:tc>
          <w:tcPr>
            <w:tcW w:type="dxa" w:w="181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近期策略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L0</w:t>
            </w:r>
          </w:p>
        </w:tc>
        <w:tc>
          <w:tcPr>
            <w:tcW w:type="dxa" w:w="3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传统MES，仅记录和展示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人完成全部判断</w:t>
            </w:r>
          </w:p>
        </w:tc>
        <w:tc>
          <w:tcPr>
            <w:tcW w:type="dxa" w:w="1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兼容</w:t>
            </w:r>
          </w:p>
        </w:tc>
      </w:tr>
      <w:tr>
        <w:tc>
          <w:tcPr>
            <w:tcW w:type="dxa" w:w="9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L1</w:t>
            </w:r>
          </w:p>
        </w:tc>
        <w:tc>
          <w:tcPr>
            <w:tcW w:type="dxa" w:w="365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AI查询、解释和总结</w:t>
            </w:r>
          </w:p>
        </w:tc>
        <w:tc>
          <w:tcPr>
            <w:tcW w:type="dxa" w:w="30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人判断并执行</w:t>
            </w:r>
          </w:p>
        </w:tc>
        <w:tc>
          <w:tcPr>
            <w:tcW w:type="dxa" w:w="181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首版覆盖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L2</w:t>
            </w:r>
          </w:p>
        </w:tc>
        <w:tc>
          <w:tcPr>
            <w:tcW w:type="dxa" w:w="3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Agent发现问题并生成方案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人批准与执行</w:t>
            </w:r>
          </w:p>
        </w:tc>
        <w:tc>
          <w:tcPr>
            <w:tcW w:type="dxa" w:w="1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首版目标</w:t>
            </w:r>
          </w:p>
        </w:tc>
      </w:tr>
      <w:tr>
        <w:tc>
          <w:tcPr>
            <w:tcW w:type="dxa" w:w="9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L3</w:t>
            </w:r>
          </w:p>
        </w:tc>
        <w:tc>
          <w:tcPr>
            <w:tcW w:type="dxa" w:w="365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低风险动作自动执行</w:t>
            </w:r>
          </w:p>
        </w:tc>
        <w:tc>
          <w:tcPr>
            <w:tcW w:type="dxa" w:w="30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人处理高风险例外</w:t>
            </w:r>
          </w:p>
        </w:tc>
        <w:tc>
          <w:tcPr>
            <w:tcW w:type="dxa" w:w="181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四大闭环目标</w:t>
            </w:r>
          </w:p>
        </w:tc>
      </w:tr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L4</w:t>
            </w:r>
          </w:p>
        </w:tc>
        <w:tc>
          <w:tcPr>
            <w:tcW w:type="dxa" w:w="3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单车间范围自主协调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人管理目标和例外</w:t>
            </w:r>
          </w:p>
        </w:tc>
        <w:tc>
          <w:tcPr>
            <w:tcW w:type="dxa" w:w="1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中长期试点</w:t>
            </w:r>
          </w:p>
        </w:tc>
      </w:tr>
      <w:tr>
        <w:tc>
          <w:tcPr>
            <w:tcW w:type="dxa" w:w="9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L5</w:t>
            </w:r>
          </w:p>
        </w:tc>
        <w:tc>
          <w:tcPr>
            <w:tcW w:type="dxa" w:w="365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跨工厂高度自治</w:t>
            </w:r>
          </w:p>
        </w:tc>
        <w:tc>
          <w:tcPr>
            <w:tcW w:type="dxa" w:w="30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人负责战略治理</w:t>
            </w:r>
          </w:p>
        </w:tc>
        <w:tc>
          <w:tcPr>
            <w:tcW w:type="dxa" w:w="181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非近期承诺</w:t>
            </w:r>
          </w:p>
        </w:tc>
      </w:tr>
    </w:tbl>
    <w:p>
      <w:pPr>
        <w:spacing w:after="20"/>
      </w:pPr>
    </w:p>
    <w:p>
      <w:pPr>
        <w:pStyle w:val="Heading2"/>
      </w:pPr>
      <w:r>
        <w:t>8.1 动作权限示例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780"/>
        <w:gridCol w:w="4880"/>
      </w:tblGrid>
      <w:tr>
        <w:trPr>
          <w:tblHeader w:val="true"/>
        </w:trPr>
        <w:tc>
          <w:tcPr>
            <w:tcW w:type="dxa" w:w="27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动作</w:t>
            </w:r>
          </w:p>
        </w:tc>
        <w:tc>
          <w:tcPr>
            <w:tcW w:type="dxa" w:w="178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建议自治</w:t>
            </w:r>
          </w:p>
        </w:tc>
        <w:tc>
          <w:tcPr>
            <w:tcW w:type="dxa" w:w="488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约束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生成日报、异常摘要</w:t>
            </w:r>
          </w:p>
        </w:tc>
        <w:tc>
          <w:tcPr>
            <w:tcW w:type="dxa" w:w="1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L3自动</w:t>
            </w:r>
          </w:p>
        </w:tc>
        <w:tc>
          <w:tcPr>
            <w:tcW w:type="dxa" w:w="4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保留数据来源</w:t>
            </w:r>
          </w:p>
        </w:tc>
      </w:tr>
      <w:tr>
        <w:tc>
          <w:tcPr>
            <w:tcW w:type="dxa" w:w="27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追加质量检验</w:t>
            </w:r>
          </w:p>
        </w:tc>
        <w:tc>
          <w:tcPr>
            <w:tcW w:type="dxa" w:w="178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L3自动</w:t>
            </w:r>
          </w:p>
        </w:tc>
        <w:tc>
          <w:tcPr>
            <w:tcW w:type="dxa" w:w="488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不减少法规/客户要求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创建维护工单</w:t>
            </w:r>
          </w:p>
        </w:tc>
        <w:tc>
          <w:tcPr>
            <w:tcW w:type="dxa" w:w="1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L3自动</w:t>
            </w:r>
          </w:p>
        </w:tc>
        <w:tc>
          <w:tcPr>
            <w:tcW w:type="dxa" w:w="4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不直接触发危险动作</w:t>
            </w:r>
          </w:p>
        </w:tc>
      </w:tr>
      <w:tr>
        <w:tc>
          <w:tcPr>
            <w:tcW w:type="dxa" w:w="27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调整同设备任务队列</w:t>
            </w:r>
          </w:p>
        </w:tc>
        <w:tc>
          <w:tcPr>
            <w:tcW w:type="dxa" w:w="178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L3自动</w:t>
            </w:r>
          </w:p>
        </w:tc>
        <w:tc>
          <w:tcPr>
            <w:tcW w:type="dxa" w:w="488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不改变工艺路线和交期承诺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跨设备重排</w:t>
            </w:r>
          </w:p>
        </w:tc>
        <w:tc>
          <w:tcPr>
            <w:tcW w:type="dxa" w:w="1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L2审批</w:t>
            </w:r>
          </w:p>
        </w:tc>
        <w:tc>
          <w:tcPr>
            <w:tcW w:type="dxa" w:w="4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验证设备能力、程序、刀夹具和人员</w:t>
            </w:r>
          </w:p>
        </w:tc>
      </w:tr>
      <w:tr>
        <w:tc>
          <w:tcPr>
            <w:tcW w:type="dxa" w:w="27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修改关键工艺参数</w:t>
            </w:r>
          </w:p>
        </w:tc>
        <w:tc>
          <w:tcPr>
            <w:tcW w:type="dxa" w:w="178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L1建议</w:t>
            </w:r>
          </w:p>
        </w:tc>
        <w:tc>
          <w:tcPr>
            <w:tcW w:type="dxa" w:w="488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工艺工程师审批和验证</w:t>
            </w:r>
          </w:p>
        </w:tc>
      </w:tr>
      <w:tr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绕过安全联锁</w:t>
            </w:r>
          </w:p>
        </w:tc>
        <w:tc>
          <w:tcPr>
            <w:tcW w:type="dxa" w:w="17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禁止</w:t>
            </w:r>
          </w:p>
        </w:tc>
        <w:tc>
          <w:tcPr>
            <w:tcW w:type="dxa" w:w="4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任何情况下均不可授权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8.2 决策审计记录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每次自主行动应保存：触发事件、业务目标、证据、模型及版本、候选方案、选中原因、风险等级、授权策略、执行动作、回滚方式、预期收益和实际效果。</w:t>
      </w:r>
    </w:p>
    <w:p>
      <w:pPr>
        <w:pStyle w:val="Heading1"/>
      </w:pPr>
      <w:r>
        <w:t>9. 产品功能规划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580"/>
        <w:gridCol w:w="4030"/>
      </w:tblGrid>
      <w:tr>
        <w:trPr>
          <w:tblHeader w:val="true"/>
        </w:trPr>
        <w:tc>
          <w:tcPr>
            <w:tcW w:type="dxa" w:w="175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产品域</w:t>
            </w:r>
          </w:p>
        </w:tc>
        <w:tc>
          <w:tcPr>
            <w:tcW w:type="dxa" w:w="358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基础能力</w:t>
            </w:r>
          </w:p>
        </w:tc>
        <w:tc>
          <w:tcPr>
            <w:tcW w:type="dxa" w:w="403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AI/Agent增强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生产计划</w:t>
            </w:r>
          </w:p>
        </w:tc>
        <w:tc>
          <w:tcPr>
            <w:tcW w:type="dxa" w:w="3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工单、工序、派工、进度</w:t>
            </w:r>
          </w:p>
        </w:tc>
        <w:tc>
          <w:tcPr>
            <w:tcW w:type="dxa" w:w="40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工时预测、交期风险、动态重排</w:t>
            </w:r>
          </w:p>
        </w:tc>
      </w:tr>
      <w:tr>
        <w:tc>
          <w:tcPr>
            <w:tcW w:type="dxa" w:w="175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工艺管理</w:t>
            </w:r>
          </w:p>
        </w:tc>
        <w:tc>
          <w:tcPr>
            <w:tcW w:type="dxa" w:w="358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BOM、路线、作业指导、版本</w:t>
            </w:r>
          </w:p>
        </w:tc>
        <w:tc>
          <w:tcPr>
            <w:tcW w:type="dxa" w:w="403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图纸解析、相似工艺、路线草案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现场执行</w:t>
            </w:r>
          </w:p>
        </w:tc>
        <w:tc>
          <w:tcPr>
            <w:tcW w:type="dxa" w:w="3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扫码、开工、报工、异常</w:t>
            </w:r>
          </w:p>
        </w:tc>
        <w:tc>
          <w:tcPr>
            <w:tcW w:type="dxa" w:w="40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语音交互、主动跟催、异常结构化</w:t>
            </w:r>
          </w:p>
        </w:tc>
      </w:tr>
      <w:tr>
        <w:tc>
          <w:tcPr>
            <w:tcW w:type="dxa" w:w="175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质量</w:t>
            </w:r>
          </w:p>
        </w:tc>
        <w:tc>
          <w:tcPr>
            <w:tcW w:type="dxa" w:w="358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检验、SPC、NCR、追溯</w:t>
            </w:r>
          </w:p>
        </w:tc>
        <w:tc>
          <w:tcPr>
            <w:tcW w:type="dxa" w:w="403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风险预测、防扩散、因果根因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设备与刀具</w:t>
            </w:r>
          </w:p>
        </w:tc>
        <w:tc>
          <w:tcPr>
            <w:tcW w:type="dxa" w:w="3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状态、点检、寿命、维护</w:t>
            </w:r>
          </w:p>
        </w:tc>
        <w:tc>
          <w:tcPr>
            <w:tcW w:type="dxa" w:w="40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异常检测、剩余寿命、维护窗口</w:t>
            </w:r>
          </w:p>
        </w:tc>
      </w:tr>
      <w:tr>
        <w:tc>
          <w:tcPr>
            <w:tcW w:type="dxa" w:w="175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物料与WIP</w:t>
            </w:r>
          </w:p>
        </w:tc>
        <w:tc>
          <w:tcPr>
            <w:tcW w:type="dxa" w:w="358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批次、齐套、配送、在制品</w:t>
            </w:r>
          </w:p>
        </w:tc>
        <w:tc>
          <w:tcPr>
            <w:tcW w:type="dxa" w:w="403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缺料预测、动态配送和WIP优化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运营驾驶舱</w:t>
            </w:r>
          </w:p>
        </w:tc>
        <w:tc>
          <w:tcPr>
            <w:tcW w:type="dxa" w:w="35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OEE、良率、准交率、产能</w:t>
            </w:r>
          </w:p>
        </w:tc>
        <w:tc>
          <w:tcPr>
            <w:tcW w:type="dxa" w:w="40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目标驱动、方案比较、收益核算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10. 分阶段实施路线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2948940"/>
            <wp:docPr id="3" name="Picture 3" descr="四阶段自主MES实施路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5B6573"/>
          <w:sz w:val="18"/>
        </w:rPr>
        <w:t>图 3  从可信数据底座到局部 L4 自治</w:t>
      </w:r>
    </w:p>
    <w:p>
      <w:pPr>
        <w:pStyle w:val="Heading2"/>
      </w:pPr>
      <w:r>
        <w:t>10.1 推荐首期范围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选择一个约 10–30 台关键设备的机械加工车间。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聚焦实际工时、动态排产、质量防扩散、维护协调和生产跟催。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首期不承诺自动修改 CNC 程序或关键加工参数。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先完成影子运行，再逐步开启低风险自动执行。</w:t>
      </w:r>
    </w:p>
    <w:p>
      <w:pPr>
        <w:pStyle w:val="Heading1"/>
      </w:pPr>
      <w:r>
        <w:t>11. 可实现度评估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560"/>
        <w:gridCol w:w="1600"/>
        <w:gridCol w:w="4200"/>
      </w:tblGrid>
      <w:tr>
        <w:trPr>
          <w:tblHeader w:val="true"/>
        </w:trPr>
        <w:tc>
          <w:tcPr>
            <w:tcW w:type="dxa" w:w="356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能力阶段</w:t>
            </w:r>
          </w:p>
        </w:tc>
        <w:tc>
          <w:tcPr>
            <w:tcW w:type="dxa" w:w="16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实现度</w:t>
            </w:r>
          </w:p>
        </w:tc>
        <w:tc>
          <w:tcPr>
            <w:tcW w:type="dxa" w:w="42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AI知识助手与自然语言MES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95%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技术成熟，可优先实现</w:t>
            </w:r>
          </w:p>
        </w:tc>
      </w:tr>
      <w:tr>
        <w:tc>
          <w:tcPr>
            <w:tcW w:type="dxa" w:w="356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图纸、工艺与现场多模态助手</w:t>
            </w:r>
          </w:p>
        </w:tc>
        <w:tc>
          <w:tcPr>
            <w:tcW w:type="dxa" w:w="16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80–90%</w:t>
            </w:r>
          </w:p>
        </w:tc>
        <w:tc>
          <w:tcPr>
            <w:tcW w:type="dxa" w:w="42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关键数据仍需人工复核</w:t>
            </w:r>
          </w:p>
        </w:tc>
      </w:tr>
      <w:tr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工时、交期和质量风险预测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80–90%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数据质量决定上限</w:t>
            </w:r>
          </w:p>
        </w:tc>
      </w:tr>
      <w:tr>
        <w:tc>
          <w:tcPr>
            <w:tcW w:type="dxa" w:w="356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动态排产和插单仿真</w:t>
            </w:r>
          </w:p>
        </w:tc>
        <w:tc>
          <w:tcPr>
            <w:tcW w:type="dxa" w:w="16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约85%</w:t>
            </w:r>
          </w:p>
        </w:tc>
        <w:tc>
          <w:tcPr>
            <w:tcW w:type="dxa" w:w="42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算法成熟，约束建模是难点</w:t>
            </w:r>
          </w:p>
        </w:tc>
      </w:tr>
      <w:tr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设备和刀具预测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70–85%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依赖传感器和有效标签</w:t>
            </w:r>
          </w:p>
        </w:tc>
      </w:tr>
      <w:tr>
        <w:tc>
          <w:tcPr>
            <w:tcW w:type="dxa" w:w="356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低风险Agent自动执行</w:t>
            </w:r>
          </w:p>
        </w:tc>
        <w:tc>
          <w:tcPr>
            <w:tcW w:type="dxa" w:w="16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75–85%</w:t>
            </w:r>
          </w:p>
        </w:tc>
        <w:tc>
          <w:tcPr>
            <w:tcW w:type="dxa" w:w="42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依赖工具、权限和回滚</w:t>
            </w:r>
          </w:p>
        </w:tc>
      </w:tr>
      <w:tr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单车间有限自治L4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55–70%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需长期运行和安全验证</w:t>
            </w:r>
          </w:p>
        </w:tc>
      </w:tr>
      <w:tr>
        <w:tc>
          <w:tcPr>
            <w:tcW w:type="dxa" w:w="356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全工厂无人自治L5</w:t>
            </w:r>
          </w:p>
        </w:tc>
        <w:tc>
          <w:tcPr>
            <w:tcW w:type="dxa" w:w="16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15–30%</w:t>
            </w:r>
          </w:p>
        </w:tc>
        <w:tc>
          <w:tcPr>
            <w:tcW w:type="dxa" w:w="42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不适合作为近期承诺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C58A00"/>
                <w:sz w:val="22"/>
              </w:rPr>
              <w:t>综合判断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365D"/>
                <w:sz w:val="21"/>
              </w:rPr>
              <w:t>以 L2 全覆盖、四个核心闭环达到 L3 为目标，当前综合可实现度约 80%。若要求直接自主控制 CNC 参数并实现全工厂无人决策，可实现度下降至约 30%–45%。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12. 收益预判与 ROI</w:t>
      </w:r>
    </w:p>
    <w:p>
      <w:pPr>
        <w:pStyle w:val="Heading2"/>
      </w:pPr>
      <w:r>
        <w:t>12.1 成熟运行后的经营改善区间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2180"/>
        <w:gridCol w:w="2180"/>
        <w:gridCol w:w="2200"/>
      </w:tblGrid>
      <w:tr>
        <w:trPr>
          <w:tblHeader w:val="true"/>
        </w:trPr>
        <w:tc>
          <w:tcPr>
            <w:tcW w:type="dxa" w:w="28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18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保守</w:t>
            </w:r>
          </w:p>
        </w:tc>
        <w:tc>
          <w:tcPr>
            <w:tcW w:type="dxa" w:w="218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基准</w:t>
            </w:r>
          </w:p>
        </w:tc>
        <w:tc>
          <w:tcPr>
            <w:tcW w:type="dxa" w:w="22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理想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准时交付率</w:t>
            </w:r>
          </w:p>
        </w:tc>
        <w:tc>
          <w:tcPr>
            <w:tcW w:type="dxa" w:w="2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+3个百分点</w:t>
            </w:r>
          </w:p>
        </w:tc>
        <w:tc>
          <w:tcPr>
            <w:tcW w:type="dxa" w:w="2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+8个百分点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+15个百分点</w:t>
            </w:r>
          </w:p>
        </w:tc>
      </w:tr>
      <w:tr>
        <w:tc>
          <w:tcPr>
            <w:tcW w:type="dxa" w:w="28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有效产能/吞吐</w:t>
            </w:r>
          </w:p>
        </w:tc>
        <w:tc>
          <w:tcPr>
            <w:tcW w:type="dxa" w:w="218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+5%</w:t>
            </w:r>
          </w:p>
        </w:tc>
        <w:tc>
          <w:tcPr>
            <w:tcW w:type="dxa" w:w="218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+12%</w:t>
            </w:r>
          </w:p>
        </w:tc>
        <w:tc>
          <w:tcPr>
            <w:tcW w:type="dxa" w:w="22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+20%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非计划停机</w:t>
            </w:r>
          </w:p>
        </w:tc>
        <w:tc>
          <w:tcPr>
            <w:tcW w:type="dxa" w:w="2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-10%</w:t>
            </w:r>
          </w:p>
        </w:tc>
        <w:tc>
          <w:tcPr>
            <w:tcW w:type="dxa" w:w="2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-25%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-40%</w:t>
            </w:r>
          </w:p>
        </w:tc>
      </w:tr>
      <w:tr>
        <w:tc>
          <w:tcPr>
            <w:tcW w:type="dxa" w:w="28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换型和等待</w:t>
            </w:r>
          </w:p>
        </w:tc>
        <w:tc>
          <w:tcPr>
            <w:tcW w:type="dxa" w:w="218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-10%</w:t>
            </w:r>
          </w:p>
        </w:tc>
        <w:tc>
          <w:tcPr>
            <w:tcW w:type="dxa" w:w="218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-25%</w:t>
            </w:r>
          </w:p>
        </w:tc>
        <w:tc>
          <w:tcPr>
            <w:tcW w:type="dxa" w:w="22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-40%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报废与返工</w:t>
            </w:r>
          </w:p>
        </w:tc>
        <w:tc>
          <w:tcPr>
            <w:tcW w:type="dxa" w:w="2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-8%</w:t>
            </w:r>
          </w:p>
        </w:tc>
        <w:tc>
          <w:tcPr>
            <w:tcW w:type="dxa" w:w="2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-20%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-35%</w:t>
            </w:r>
          </w:p>
        </w:tc>
      </w:tr>
      <w:tr>
        <w:tc>
          <w:tcPr>
            <w:tcW w:type="dxa" w:w="28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在制品WIP</w:t>
            </w:r>
          </w:p>
        </w:tc>
        <w:tc>
          <w:tcPr>
            <w:tcW w:type="dxa" w:w="218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-8%</w:t>
            </w:r>
          </w:p>
        </w:tc>
        <w:tc>
          <w:tcPr>
            <w:tcW w:type="dxa" w:w="218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-20%</w:t>
            </w:r>
          </w:p>
        </w:tc>
        <w:tc>
          <w:tcPr>
            <w:tcW w:type="dxa" w:w="22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-35%</w:t>
            </w:r>
          </w:p>
        </w:tc>
      </w:tr>
      <w:tr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计划员重复工作</w:t>
            </w:r>
          </w:p>
        </w:tc>
        <w:tc>
          <w:tcPr>
            <w:tcW w:type="dxa" w:w="2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-30%</w:t>
            </w:r>
          </w:p>
        </w:tc>
        <w:tc>
          <w:tcPr>
            <w:tcW w:type="dxa" w:w="2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-60%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-80%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12.2 亿元级工厂基准算例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假设年营业收入 1 亿元、制造成本 6500 万元、30–50 台数控设备、订单需求充足。在避免重复计算的前提下，成熟运行后的年度可兑现收益预计约 470 万–760 万元，中位数约 500 万–700 万元。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000"/>
        <w:gridCol w:w="3360"/>
      </w:tblGrid>
      <w:tr>
        <w:trPr>
          <w:tblHeader w:val="true"/>
        </w:trPr>
        <w:tc>
          <w:tcPr>
            <w:tcW w:type="dxa" w:w="60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收益来源</w:t>
            </w:r>
          </w:p>
        </w:tc>
        <w:tc>
          <w:tcPr>
            <w:tcW w:type="dxa" w:w="336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年度预估</w:t>
            </w:r>
          </w:p>
        </w:tc>
      </w:tr>
      <w:tr>
        <w:tc>
          <w:tcPr>
            <w:tcW w:type="dxa" w:w="6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有效产能增加贡献利润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200万–300万元</w:t>
            </w:r>
          </w:p>
        </w:tc>
      </w:tr>
      <w:tr>
        <w:tc>
          <w:tcPr>
            <w:tcW w:type="dxa" w:w="60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报废返工减少</w:t>
            </w:r>
          </w:p>
        </w:tc>
        <w:tc>
          <w:tcPr>
            <w:tcW w:type="dxa" w:w="336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50万–80万元</w:t>
            </w:r>
          </w:p>
        </w:tc>
      </w:tr>
      <w:tr>
        <w:tc>
          <w:tcPr>
            <w:tcW w:type="dxa" w:w="6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停机与异常损失减少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100万–150万元</w:t>
            </w:r>
          </w:p>
        </w:tc>
      </w:tr>
      <w:tr>
        <w:tc>
          <w:tcPr>
            <w:tcW w:type="dxa" w:w="60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计划、跟催和统计效率</w:t>
            </w:r>
          </w:p>
        </w:tc>
        <w:tc>
          <w:tcPr>
            <w:tcW w:type="dxa" w:w="336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50万–80万元</w:t>
            </w:r>
          </w:p>
        </w:tc>
      </w:tr>
      <w:tr>
        <w:tc>
          <w:tcPr>
            <w:tcW w:type="dxa" w:w="6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WIP资金和持有成本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20万–50万元</w:t>
            </w:r>
          </w:p>
        </w:tc>
      </w:tr>
      <w:tr>
        <w:tc>
          <w:tcPr>
            <w:tcW w:type="dxa" w:w="60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工艺准备与知识复用</w:t>
            </w:r>
          </w:p>
        </w:tc>
        <w:tc>
          <w:tcPr>
            <w:tcW w:type="dxa" w:w="336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9"/>
              </w:rPr>
              <w:t>50万–100万元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9F5F5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2F8F9D"/>
                <w:sz w:val="22"/>
              </w:rPr>
              <w:t>投资判断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365D"/>
                <w:sz w:val="21"/>
              </w:rPr>
              <w:t>中型工厂若首年投入约 200万–500万元，基准回收期可按 12–24个月测算；三年净 ROI 可设为 80%–200% 的验证区间。所有收益均需通过试点基线数据重新测算。</w:t>
            </w:r>
          </w:p>
        </w:tc>
      </w:tr>
    </w:tbl>
    <w:p>
      <w:pPr>
        <w:spacing w:after="20"/>
      </w:pPr>
    </w:p>
    <w:p>
      <w:pPr>
        <w:pStyle w:val="Heading1"/>
      </w:pPr>
      <w:r>
        <w:t>13. 试点设计与验收指标</w:t>
      </w:r>
    </w:p>
    <w:p>
      <w:pPr>
        <w:pStyle w:val="Heading2"/>
      </w:pPr>
      <w:r>
        <w:t>13.1 试点闭环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动态排产：发生插单、停机或返工后，在 5 分钟内生成可执行方案。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质量防扩散：识别风险窗口，自动关联并冻结受影响序列号，生成追加检验。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维护协调：根据设备风险生成维护任务，并给出对交期影响最小的窗口。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生产跟催：自动识别潜在延期、缺料和工序拥堵，形成处置任务。</w:t>
      </w:r>
    </w:p>
    <w:p>
      <w:r>
        <w:br w:type="page"/>
      </w:r>
    </w:p>
    <w:p>
      <w:pPr>
        <w:pStyle w:val="Heading2"/>
      </w:pPr>
      <w:r>
        <w:t>13.2 建议验收指标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920"/>
        <w:gridCol w:w="2940"/>
      </w:tblGrid>
      <w:tr>
        <w:trPr>
          <w:tblHeader w:val="true"/>
        </w:trPr>
        <w:tc>
          <w:tcPr>
            <w:tcW w:type="dxa" w:w="15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492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94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建议目标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数据</w:t>
            </w:r>
          </w:p>
        </w:tc>
        <w:tc>
          <w:tcPr>
            <w:tcW w:type="dxa" w:w="4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工单-工序-设备-产品关联完整率</w:t>
            </w:r>
          </w:p>
        </w:tc>
        <w:tc>
          <w:tcPr>
            <w:tcW w:type="dxa" w:w="2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≥95%</w:t>
            </w:r>
          </w:p>
        </w:tc>
      </w:tr>
      <w:tr>
        <w:tc>
          <w:tcPr>
            <w:tcW w:type="dxa" w:w="15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排产</w:t>
            </w:r>
          </w:p>
        </w:tc>
        <w:tc>
          <w:tcPr>
            <w:tcW w:type="dxa" w:w="492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方案生成时间</w:t>
            </w:r>
          </w:p>
        </w:tc>
        <w:tc>
          <w:tcPr>
            <w:tcW w:type="dxa" w:w="294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≤5分钟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执行</w:t>
            </w:r>
          </w:p>
        </w:tc>
        <w:tc>
          <w:tcPr>
            <w:tcW w:type="dxa" w:w="4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建议可执行率</w:t>
            </w:r>
          </w:p>
        </w:tc>
        <w:tc>
          <w:tcPr>
            <w:tcW w:type="dxa" w:w="2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≥80%</w:t>
            </w:r>
          </w:p>
        </w:tc>
      </w:tr>
      <w:tr>
        <w:tc>
          <w:tcPr>
            <w:tcW w:type="dxa" w:w="15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采用</w:t>
            </w:r>
          </w:p>
        </w:tc>
        <w:tc>
          <w:tcPr>
            <w:tcW w:type="dxa" w:w="492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计划员采纳或少量修改比例</w:t>
            </w:r>
          </w:p>
        </w:tc>
        <w:tc>
          <w:tcPr>
            <w:tcW w:type="dxa" w:w="294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≥70%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交付</w:t>
            </w:r>
          </w:p>
        </w:tc>
        <w:tc>
          <w:tcPr>
            <w:tcW w:type="dxa" w:w="4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准交率改善</w:t>
            </w:r>
          </w:p>
        </w:tc>
        <w:tc>
          <w:tcPr>
            <w:tcW w:type="dxa" w:w="2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+5个百分点以上</w:t>
            </w:r>
          </w:p>
        </w:tc>
      </w:tr>
      <w:tr>
        <w:tc>
          <w:tcPr>
            <w:tcW w:type="dxa" w:w="15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异常</w:t>
            </w:r>
          </w:p>
        </w:tc>
        <w:tc>
          <w:tcPr>
            <w:tcW w:type="dxa" w:w="492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平均响应时间</w:t>
            </w:r>
          </w:p>
        </w:tc>
        <w:tc>
          <w:tcPr>
            <w:tcW w:type="dxa" w:w="294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下降50%以上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质量</w:t>
            </w:r>
          </w:p>
        </w:tc>
        <w:tc>
          <w:tcPr>
            <w:tcW w:type="dxa" w:w="49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风险批次防扩散覆盖率</w:t>
            </w:r>
          </w:p>
        </w:tc>
        <w:tc>
          <w:tcPr>
            <w:tcW w:type="dxa" w:w="29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≥90%</w:t>
            </w:r>
          </w:p>
        </w:tc>
      </w:tr>
      <w:tr>
        <w:tc>
          <w:tcPr>
            <w:tcW w:type="dxa" w:w="15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安全</w:t>
            </w:r>
          </w:p>
        </w:tc>
        <w:tc>
          <w:tcPr>
            <w:tcW w:type="dxa" w:w="492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未授权高风险动作</w:t>
            </w:r>
          </w:p>
        </w:tc>
        <w:tc>
          <w:tcPr>
            <w:tcW w:type="dxa" w:w="294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8"/>
              </w:rPr>
              <w:t>0次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14. 核心风险与应对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4460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310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表现</w:t>
            </w:r>
          </w:p>
        </w:tc>
        <w:tc>
          <w:tcPr>
            <w:tcW w:type="dxa" w:w="4460"/>
            <w:shd w:fill="17365D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应对策略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数据不可用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时间戳、标识、原因码和质量关联缺失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先建设最小制造事件模型和数据质量看板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模型幻觉</w:t>
            </w:r>
          </w:p>
        </w:tc>
        <w:tc>
          <w:tcPr>
            <w:tcW w:type="dxa" w:w="31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大模型生成不存在的工艺或原因</w:t>
            </w:r>
          </w:p>
        </w:tc>
        <w:tc>
          <w:tcPr>
            <w:tcW w:type="dxa" w:w="446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RAG、结构化工具、规则校验和来源显示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建议不可执行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忽略夹具、资质、程序或物料约束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硬约束进入优化器和策略引擎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过度自治</w:t>
            </w:r>
          </w:p>
        </w:tc>
        <w:tc>
          <w:tcPr>
            <w:tcW w:type="dxa" w:w="31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AI动作影响安全、质量或交付承诺</w:t>
            </w:r>
          </w:p>
        </w:tc>
        <w:tc>
          <w:tcPr>
            <w:tcW w:type="dxa" w:w="446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分级授权、影子运行、审批、回滚和熔断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部署定制化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每个工厂都需要从头开发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标准语义模型、连接器、Agent工具和行业模板</w:t>
            </w:r>
          </w:p>
        </w:tc>
      </w:tr>
      <w:tr>
        <w:tc>
          <w:tcPr>
            <w:tcW w:type="dxa" w:w="18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收益难证明</w:t>
            </w:r>
          </w:p>
        </w:tc>
        <w:tc>
          <w:tcPr>
            <w:tcW w:type="dxa" w:w="310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有预测准确率但无经营改善</w:t>
            </w:r>
          </w:p>
        </w:tc>
        <w:tc>
          <w:tcPr>
            <w:tcW w:type="dxa" w:w="4460"/>
            <w:vAlign w:val="center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记录建议-执行-效果轨迹，持续核算价值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人员抵触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计划员和工程师不信任系统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02733"/>
                <w:sz w:val="17"/>
              </w:rPr>
              <w:t>先辅助后自治，展示依据，保留人工否决权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15｜下一步工作计划</w:t>
      </w:r>
    </w:p>
    <w:p>
      <w:pPr>
        <w:pStyle w:val="ListNumber2"/>
        <w:spacing w:after="10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确定首个细分场景：精密机加工、模具、非标装备或航空零部件。</w:t>
      </w:r>
    </w:p>
    <w:p>
      <w:pPr>
        <w:pStyle w:val="ListNumber2"/>
        <w:spacing w:after="10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选择试点工厂并完成两周业务发现，建立收益基线。</w:t>
      </w:r>
    </w:p>
    <w:p>
      <w:pPr>
        <w:pStyle w:val="ListNumber2"/>
        <w:spacing w:after="10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输出领域模型：核心对象、事件、状态机、约束和Agent工具清单。</w:t>
      </w:r>
    </w:p>
    <w:p>
      <w:pPr>
        <w:pStyle w:val="ListNumber2"/>
        <w:spacing w:after="10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完成首版技术验证：工时预测 + 动态排产 + 事件驱动Agent。</w:t>
      </w:r>
    </w:p>
    <w:p>
      <w:pPr>
        <w:pStyle w:val="ListNumber2"/>
        <w:spacing w:after="10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建设影子运行环境，以历史数据回放和实时旁路方式验证。</w:t>
      </w:r>
    </w:p>
    <w:p>
      <w:pPr>
        <w:pStyle w:val="ListNumber2"/>
        <w:spacing w:after="10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制定L2到L3授权策略，选择可回滚的低风险动作。</w:t>
      </w:r>
    </w:p>
    <w:p>
      <w:pPr>
        <w:pStyle w:val="ListNumber2"/>
        <w:spacing w:after="10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运行8–12周试点，依据KPI决定扩大设备、车间和Agent范围。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C58A00"/>
                <w:sz w:val="22"/>
              </w:rPr>
              <w:t>建议的第一产品楔子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7365D"/>
                <w:sz w:val="21"/>
              </w:rPr>
              <w:t>优先做“动态生产调度与异常自治”：任何插单、停机、缺料和返工发生后，自动生成经过仿真的重排方案，并在授权范围内执行。该能力可自然连接质量、维护、物料和工艺，是最有机会形成平台效应的入口。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附录 A：关键参考与边界说明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ISA-95：企业系统与制造控制系统集成框架，https://www.isa.org/standards-and-publications/isa-standards/isa-95-standard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NIST 2026 AI/ML for Smart Manufacturing Roadmap，https://www.nist.gov/publications/2026-roadmap-artificial-intelligence-and-machine-learning-smart-manufacturing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NIST Digital Twins for Advanced Manufacturing，https://www.nist.gov/digital-twins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NIST Augmented Intelligence for Manufacturing Systems，https://www.nist.gov/programs-projects/augmented-intelligence-manufacturing-systems-aims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Microsoft Industrial Foundation Models，https://www.microsoft.com/en-us/research/articles/towards-industrial-foundation-models-integrating-large-language-models-with-industrial-data-intelligence/</w:t>
      </w:r>
    </w:p>
    <w:p>
      <w:pPr>
        <w:pStyle w:val="ListBullet"/>
        <w:spacing w:after="80" w:line="276" w:lineRule="auto"/>
      </w:pPr>
      <w:r>
        <w:rPr>
          <w:rFonts w:ascii="Microsoft YaHei" w:hAnsi="Microsoft YaHei" w:eastAsia="Microsoft YaHei"/>
          <w:b w:val="0"/>
          <w:color w:val="000000"/>
          <w:sz w:val="21"/>
        </w:rPr>
        <w:t>NIST Economics of Digital Twins，https://www.nist.gov/publications/economics-digital-twins-costs-benefits-and-economic-decision-making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i/>
          <w:color w:val="5B6573"/>
          <w:sz w:val="21"/>
        </w:rPr>
        <w:t>说明：可实现度、收益和ROI均为概念规划阶段的区间预判，不构成对具体工厂的承诺。正式商业测算必须基于设备、订单、成本、质量、人员和停机基线进行。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5B6573"/>
        <w:sz w:val="18"/>
      </w:rPr>
      <w:t xml:space="preserve">第 </w:t>
    </w:r>
    <w:fldSimple w:instr="PAGE"/>
    <w:r>
      <w:rPr>
        <w:rFonts w:ascii="Microsoft YaHei" w:hAnsi="Microsoft YaHei" w:eastAsia="Microsoft YaHei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 w:val="0"/>
        <w:color w:val="5B6573"/>
        <w:sz w:val="18"/>
      </w:rPr>
      <w:t>自主 MES 产品规划与流程架构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自主 MES 产品规划与流程架构</dc:title>
  <dc:subject>机械加工与装备制造的多模型、多Agent自主生产运营平台</dc:subject>
  <dc:creator>项目规划组</dc:creator>
  <cp:keywords>MES, AI Agent, 机械加工, 装备制造, 数字孪生, 动态排产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