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E71FF" w14:textId="65143E8C" w:rsidR="0033335F" w:rsidRPr="00065BFC" w:rsidRDefault="0033335F" w:rsidP="006E636C">
      <w:pPr>
        <w:spacing w:after="0" w:line="240" w:lineRule="auto"/>
        <w:jc w:val="both"/>
        <w:rPr>
          <w:b/>
          <w:bCs/>
          <w:u w:val="single"/>
        </w:rPr>
      </w:pPr>
      <w:r w:rsidRPr="00065BFC">
        <w:rPr>
          <w:b/>
          <w:bCs/>
          <w:u w:val="single"/>
        </w:rPr>
        <w:t xml:space="preserve">Module </w:t>
      </w:r>
      <w:r>
        <w:rPr>
          <w:b/>
          <w:bCs/>
          <w:u w:val="single"/>
        </w:rPr>
        <w:t>4</w:t>
      </w:r>
      <w:r w:rsidRPr="00065BFC">
        <w:rPr>
          <w:b/>
          <w:bCs/>
          <w:u w:val="single"/>
        </w:rPr>
        <w:t xml:space="preserve"> Challenge</w:t>
      </w:r>
    </w:p>
    <w:p w14:paraId="7F6044DB" w14:textId="0856D7AE" w:rsidR="0033335F" w:rsidRPr="0033335F" w:rsidRDefault="0033335F" w:rsidP="006E636C">
      <w:pPr>
        <w:spacing w:after="0" w:line="240" w:lineRule="auto"/>
        <w:jc w:val="both"/>
        <w:rPr>
          <w:b/>
          <w:bCs/>
        </w:rPr>
      </w:pPr>
    </w:p>
    <w:p w14:paraId="1A7E6C55" w14:textId="382505E7" w:rsidR="00AF182A" w:rsidRPr="00FC7626" w:rsidRDefault="00AF182A" w:rsidP="006E63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FC7626">
        <w:rPr>
          <w:b/>
          <w:bCs/>
        </w:rPr>
        <w:t>Summary of analysi</w:t>
      </w:r>
      <w:r w:rsidR="00211C9F" w:rsidRPr="00FC7626">
        <w:rPr>
          <w:b/>
          <w:bCs/>
        </w:rPr>
        <w:t>s</w:t>
      </w:r>
    </w:p>
    <w:p w14:paraId="3F0F7A7C" w14:textId="77777777" w:rsidR="0033335F" w:rsidRDefault="0033335F" w:rsidP="006E636C">
      <w:pPr>
        <w:spacing w:after="0" w:line="240" w:lineRule="auto"/>
        <w:jc w:val="both"/>
      </w:pPr>
    </w:p>
    <w:p w14:paraId="416E7F9E" w14:textId="180CD336" w:rsidR="00E64DE9" w:rsidRDefault="00E64DE9" w:rsidP="006E636C">
      <w:pPr>
        <w:spacing w:after="0" w:line="240" w:lineRule="auto"/>
        <w:jc w:val="both"/>
      </w:pPr>
      <w:r>
        <w:t xml:space="preserve">The summaries of data show the following trends in school performance: </w:t>
      </w:r>
    </w:p>
    <w:p w14:paraId="301DC556" w14:textId="77777777" w:rsidR="00917AEA" w:rsidRDefault="00917AEA" w:rsidP="006E636C">
      <w:pPr>
        <w:spacing w:after="0" w:line="240" w:lineRule="auto"/>
        <w:jc w:val="both"/>
      </w:pPr>
    </w:p>
    <w:p w14:paraId="273A246F" w14:textId="0D2BFDE3" w:rsidR="00A53B88" w:rsidRDefault="00E64DE9" w:rsidP="006E636C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54839">
        <w:rPr>
          <w:b/>
          <w:bCs/>
        </w:rPr>
        <w:t>District summary:</w:t>
      </w:r>
      <w:r>
        <w:t xml:space="preserve"> </w:t>
      </w:r>
      <w:r w:rsidR="00C91420">
        <w:t xml:space="preserve">Overall, students </w:t>
      </w:r>
      <w:r w:rsidR="00EF615E">
        <w:t xml:space="preserve">attained higher scores and higher passing rate in reading </w:t>
      </w:r>
      <w:r w:rsidR="0046230C">
        <w:t>(</w:t>
      </w:r>
      <w:r w:rsidR="00A2482E">
        <w:t>82 marks and 86%</w:t>
      </w:r>
      <w:r w:rsidR="0046230C">
        <w:t xml:space="preserve">) </w:t>
      </w:r>
      <w:r w:rsidR="00EF615E">
        <w:t>than in math</w:t>
      </w:r>
      <w:r w:rsidR="00CE5829">
        <w:t>ematics</w:t>
      </w:r>
      <w:r w:rsidR="00A2482E">
        <w:t xml:space="preserve"> (79 marks and </w:t>
      </w:r>
      <w:r w:rsidR="00F6339B">
        <w:t>75%</w:t>
      </w:r>
      <w:r w:rsidR="00A2482E">
        <w:t>)</w:t>
      </w:r>
      <w:r w:rsidR="00FC7626">
        <w:t>.</w:t>
      </w:r>
    </w:p>
    <w:p w14:paraId="3AB7EF94" w14:textId="2EBFD19C" w:rsidR="00B651EA" w:rsidRDefault="00B651EA" w:rsidP="006E636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  <w:bCs/>
        </w:rPr>
        <w:t>School summary:</w:t>
      </w:r>
      <w:r>
        <w:t xml:space="preserve"> In general, charter schools have a smaller size</w:t>
      </w:r>
      <w:r w:rsidR="00FE4C11">
        <w:t xml:space="preserve">, lower per student budget, </w:t>
      </w:r>
      <w:r w:rsidR="00056613">
        <w:t xml:space="preserve">and </w:t>
      </w:r>
      <w:r w:rsidR="00FE4C11">
        <w:t>higher overall passing rates.</w:t>
      </w:r>
    </w:p>
    <w:p w14:paraId="6A813EE4" w14:textId="726E3259" w:rsidR="00722ABE" w:rsidRPr="00291A12" w:rsidRDefault="00722ABE" w:rsidP="006E63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722ABE">
        <w:rPr>
          <w:b/>
          <w:bCs/>
        </w:rPr>
        <w:t xml:space="preserve">Highest-performing schools: </w:t>
      </w:r>
      <w:r>
        <w:t>The highest-performing schools</w:t>
      </w:r>
      <w:r w:rsidR="00F6339B">
        <w:t xml:space="preserve">, which are all charter schools, </w:t>
      </w:r>
      <w:r w:rsidR="001253C4">
        <w:t xml:space="preserve">have an overall passing rate of </w:t>
      </w:r>
      <w:r w:rsidR="00764AB6">
        <w:t>around 90%.</w:t>
      </w:r>
    </w:p>
    <w:p w14:paraId="0A4A255E" w14:textId="07EE1868" w:rsidR="00291A12" w:rsidRPr="00EB713E" w:rsidRDefault="00291A12" w:rsidP="006E63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Bottom-performing schools: </w:t>
      </w:r>
      <w:r>
        <w:t>The bottom-performing schools</w:t>
      </w:r>
      <w:r w:rsidR="00F6339B">
        <w:t>, which are all district schools,</w:t>
      </w:r>
      <w:r>
        <w:t xml:space="preserve"> have an overall passing rate of only around 53%.</w:t>
      </w:r>
    </w:p>
    <w:p w14:paraId="0EE99A5E" w14:textId="083047A5" w:rsidR="00EB713E" w:rsidRPr="006E6DAE" w:rsidRDefault="00EB713E" w:rsidP="006E63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Math score by grade</w:t>
      </w:r>
      <w:r w:rsidR="00B74571">
        <w:rPr>
          <w:b/>
          <w:bCs/>
        </w:rPr>
        <w:t xml:space="preserve"> and reading score by grade: </w:t>
      </w:r>
      <w:r w:rsidR="00B74571">
        <w:t xml:space="preserve">Students of different grades tend to perform similarly </w:t>
      </w:r>
      <w:r w:rsidR="006E6DAE">
        <w:t>within the same school.</w:t>
      </w:r>
    </w:p>
    <w:p w14:paraId="14133D12" w14:textId="3EB15FC4" w:rsidR="006E6DAE" w:rsidRPr="00434009" w:rsidRDefault="006E6DAE" w:rsidP="006E63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Scores by school spending: </w:t>
      </w:r>
      <w:r w:rsidR="00434009">
        <w:t>S</w:t>
      </w:r>
      <w:r w:rsidR="0066009F">
        <w:t>chools with the lowest spending per student (&lt;$585) attained the highest overall passing rate (</w:t>
      </w:r>
      <w:r w:rsidR="00434009">
        <w:t>90%)</w:t>
      </w:r>
      <w:r w:rsidR="0066009F">
        <w:t xml:space="preserve">, </w:t>
      </w:r>
      <w:r w:rsidR="00434009">
        <w:t xml:space="preserve">while </w:t>
      </w:r>
      <w:r w:rsidR="0066009F">
        <w:t xml:space="preserve">schools with the highest spending per student </w:t>
      </w:r>
      <w:r w:rsidR="00434009">
        <w:t xml:space="preserve">($645-680) </w:t>
      </w:r>
      <w:r w:rsidR="0066009F">
        <w:t xml:space="preserve">attained the lowest </w:t>
      </w:r>
      <w:r w:rsidR="00033FC3">
        <w:t xml:space="preserve">overall </w:t>
      </w:r>
      <w:r w:rsidR="0066009F">
        <w:t>passing rate</w:t>
      </w:r>
      <w:r w:rsidR="00434009">
        <w:t xml:space="preserve"> (54%).</w:t>
      </w:r>
    </w:p>
    <w:p w14:paraId="59036DC0" w14:textId="206B6913" w:rsidR="00434009" w:rsidRPr="00033FC3" w:rsidRDefault="00434009" w:rsidP="006E63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Scores by school size: </w:t>
      </w:r>
      <w:r w:rsidR="00320F52">
        <w:t xml:space="preserve">Schools of a smaller size (&lt;1,000 students) </w:t>
      </w:r>
      <w:r w:rsidR="009768BE">
        <w:t xml:space="preserve">attained higher overall passing rate (90%), while schools of a large size (2,000-5,000 students) attained </w:t>
      </w:r>
      <w:r w:rsidR="00033FC3">
        <w:t>the lowest overall passing rate (58%).</w:t>
      </w:r>
    </w:p>
    <w:p w14:paraId="07A389D3" w14:textId="39A6203E" w:rsidR="00033FC3" w:rsidRPr="00722ABE" w:rsidRDefault="00033FC3" w:rsidP="006E63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Scores by school type: </w:t>
      </w:r>
      <w:r>
        <w:t xml:space="preserve">Charter schools attained </w:t>
      </w:r>
      <w:r w:rsidR="0046230C">
        <w:t>higher overall passing rate (90%) than district schools (54%).</w:t>
      </w:r>
    </w:p>
    <w:p w14:paraId="72930078" w14:textId="77777777" w:rsidR="00E64DE9" w:rsidRDefault="00E64DE9" w:rsidP="006E636C">
      <w:pPr>
        <w:spacing w:after="0" w:line="240" w:lineRule="auto"/>
        <w:jc w:val="both"/>
      </w:pPr>
    </w:p>
    <w:p w14:paraId="7F0EBCFC" w14:textId="77777777" w:rsidR="00AF182A" w:rsidRPr="001A044F" w:rsidRDefault="00AF182A" w:rsidP="006E63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1A044F">
        <w:rPr>
          <w:b/>
          <w:bCs/>
        </w:rPr>
        <w:t>Conclusions</w:t>
      </w:r>
    </w:p>
    <w:p w14:paraId="2598BFA4" w14:textId="77777777" w:rsidR="00940545" w:rsidRDefault="00940545" w:rsidP="006E636C">
      <w:pPr>
        <w:tabs>
          <w:tab w:val="left" w:pos="2324"/>
        </w:tabs>
        <w:spacing w:after="0" w:line="240" w:lineRule="auto"/>
        <w:jc w:val="both"/>
      </w:pPr>
    </w:p>
    <w:p w14:paraId="73751404" w14:textId="0E694643" w:rsidR="00AF182A" w:rsidRDefault="00AF182A" w:rsidP="00BF6205">
      <w:pPr>
        <w:tabs>
          <w:tab w:val="left" w:pos="2324"/>
        </w:tabs>
        <w:spacing w:after="0" w:line="240" w:lineRule="auto"/>
        <w:jc w:val="both"/>
      </w:pPr>
      <w:r>
        <w:t>First,</w:t>
      </w:r>
      <w:r w:rsidR="00BF6205">
        <w:t xml:space="preserve"> higher school spending does not necessarily result in better school performance. </w:t>
      </w:r>
      <w:r w:rsidR="00BC7205">
        <w:t xml:space="preserve"> </w:t>
      </w:r>
      <w:r w:rsidR="00BF6205">
        <w:t xml:space="preserve"> C</w:t>
      </w:r>
      <w:r w:rsidR="00BC7205">
        <w:t>harter schools performed better than district schools with higher overall passing rates, despite</w:t>
      </w:r>
      <w:r w:rsidR="006E636C">
        <w:t xml:space="preserve"> </w:t>
      </w:r>
      <w:r w:rsidR="003125EF">
        <w:t xml:space="preserve">charter schools’ </w:t>
      </w:r>
      <w:r w:rsidR="00BC7205">
        <w:t xml:space="preserve">lower </w:t>
      </w:r>
      <w:r w:rsidR="003125EF">
        <w:t xml:space="preserve">per student budget. </w:t>
      </w:r>
      <w:r w:rsidR="00551F4E">
        <w:t xml:space="preserve">As charter schools attained better performance with lower resources, charter schools may be more effective and efficient in </w:t>
      </w:r>
      <w:r w:rsidR="00223F8D">
        <w:t xml:space="preserve">the use of </w:t>
      </w:r>
      <w:r w:rsidR="00551F4E">
        <w:t>resource.</w:t>
      </w:r>
    </w:p>
    <w:p w14:paraId="50AC2C5A" w14:textId="77777777" w:rsidR="00940545" w:rsidRDefault="00940545" w:rsidP="006E636C">
      <w:pPr>
        <w:tabs>
          <w:tab w:val="left" w:pos="2324"/>
        </w:tabs>
        <w:spacing w:after="0" w:line="240" w:lineRule="auto"/>
        <w:jc w:val="both"/>
      </w:pPr>
    </w:p>
    <w:p w14:paraId="1CED4F42" w14:textId="16B416C0" w:rsidR="00914E1B" w:rsidRDefault="00AF182A" w:rsidP="006E636C">
      <w:pPr>
        <w:tabs>
          <w:tab w:val="left" w:pos="2324"/>
        </w:tabs>
        <w:spacing w:after="0" w:line="240" w:lineRule="auto"/>
        <w:jc w:val="both"/>
      </w:pPr>
      <w:r>
        <w:t>Second,</w:t>
      </w:r>
      <w:r w:rsidR="0036042A">
        <w:t xml:space="preserve"> </w:t>
      </w:r>
      <w:r w:rsidR="00CB39ED">
        <w:t>smaller school size may explain better school performance</w:t>
      </w:r>
      <w:r w:rsidR="00646794">
        <w:t>.</w:t>
      </w:r>
      <w:r w:rsidR="00CB39ED">
        <w:t xml:space="preserve"> Charter schools, which are smaller in size in general, attained better performance. This may imply that </w:t>
      </w:r>
      <w:r w:rsidR="006A0305">
        <w:t xml:space="preserve">small-class teaching </w:t>
      </w:r>
      <w:r w:rsidR="001D1BCB">
        <w:t>is</w:t>
      </w:r>
      <w:r w:rsidR="006A0305">
        <w:t xml:space="preserve"> conducive to better performance</w:t>
      </w:r>
      <w:r w:rsidR="00914E1B">
        <w:t>.</w:t>
      </w:r>
    </w:p>
    <w:p w14:paraId="2C3FBDD1" w14:textId="77777777" w:rsidR="00914E1B" w:rsidRDefault="00914E1B" w:rsidP="006E636C">
      <w:pPr>
        <w:tabs>
          <w:tab w:val="left" w:pos="2324"/>
        </w:tabs>
        <w:spacing w:after="0" w:line="240" w:lineRule="auto"/>
        <w:jc w:val="both"/>
      </w:pPr>
    </w:p>
    <w:p w14:paraId="2FA0BFDC" w14:textId="4998A09E" w:rsidR="00F2045C" w:rsidRDefault="00914E1B" w:rsidP="006E636C">
      <w:pPr>
        <w:tabs>
          <w:tab w:val="left" w:pos="2324"/>
        </w:tabs>
        <w:spacing w:after="0" w:line="240" w:lineRule="auto"/>
        <w:jc w:val="both"/>
      </w:pPr>
      <w:r>
        <w:t xml:space="preserve">A more detailed analysis of charter schools’ mode of operation / teaching could be conducted to draw lessons learned and best practices for district schools. </w:t>
      </w:r>
    </w:p>
    <w:sectPr w:rsidR="00F2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01C1D"/>
    <w:multiLevelType w:val="hybridMultilevel"/>
    <w:tmpl w:val="5E567D1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E95BE3"/>
    <w:multiLevelType w:val="hybridMultilevel"/>
    <w:tmpl w:val="9D26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13260">
    <w:abstractNumId w:val="0"/>
  </w:num>
  <w:num w:numId="2" w16cid:durableId="146951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C"/>
    <w:rsid w:val="00033FC3"/>
    <w:rsid w:val="00056613"/>
    <w:rsid w:val="000B178C"/>
    <w:rsid w:val="001253C4"/>
    <w:rsid w:val="00166F7F"/>
    <w:rsid w:val="00172633"/>
    <w:rsid w:val="001A044F"/>
    <w:rsid w:val="001A1C14"/>
    <w:rsid w:val="001D1BCB"/>
    <w:rsid w:val="00211C9F"/>
    <w:rsid w:val="00223F8D"/>
    <w:rsid w:val="00245D48"/>
    <w:rsid w:val="00291A12"/>
    <w:rsid w:val="002A5A2C"/>
    <w:rsid w:val="002E2BE1"/>
    <w:rsid w:val="003125EF"/>
    <w:rsid w:val="00320F52"/>
    <w:rsid w:val="0033335F"/>
    <w:rsid w:val="00335E8E"/>
    <w:rsid w:val="0036042A"/>
    <w:rsid w:val="00432AEF"/>
    <w:rsid w:val="00434009"/>
    <w:rsid w:val="0046230C"/>
    <w:rsid w:val="00551F4E"/>
    <w:rsid w:val="00646794"/>
    <w:rsid w:val="0066009F"/>
    <w:rsid w:val="006A0305"/>
    <w:rsid w:val="006E1349"/>
    <w:rsid w:val="006E636C"/>
    <w:rsid w:val="006E6DAE"/>
    <w:rsid w:val="00722ABE"/>
    <w:rsid w:val="00764AB6"/>
    <w:rsid w:val="00776A14"/>
    <w:rsid w:val="007C01E2"/>
    <w:rsid w:val="00807600"/>
    <w:rsid w:val="008E068C"/>
    <w:rsid w:val="008F30A2"/>
    <w:rsid w:val="008F4DE3"/>
    <w:rsid w:val="00914E1B"/>
    <w:rsid w:val="00917AEA"/>
    <w:rsid w:val="00940545"/>
    <w:rsid w:val="009768BE"/>
    <w:rsid w:val="00A2482E"/>
    <w:rsid w:val="00A53B88"/>
    <w:rsid w:val="00A54839"/>
    <w:rsid w:val="00AA66AE"/>
    <w:rsid w:val="00AF182A"/>
    <w:rsid w:val="00B651EA"/>
    <w:rsid w:val="00B74571"/>
    <w:rsid w:val="00BC7205"/>
    <w:rsid w:val="00BF6205"/>
    <w:rsid w:val="00C91420"/>
    <w:rsid w:val="00CB1AD0"/>
    <w:rsid w:val="00CB39ED"/>
    <w:rsid w:val="00CE5829"/>
    <w:rsid w:val="00D106D6"/>
    <w:rsid w:val="00E2154B"/>
    <w:rsid w:val="00E36E91"/>
    <w:rsid w:val="00E64DE9"/>
    <w:rsid w:val="00EA639B"/>
    <w:rsid w:val="00EB3D65"/>
    <w:rsid w:val="00EB4A57"/>
    <w:rsid w:val="00EB713E"/>
    <w:rsid w:val="00EE3EC7"/>
    <w:rsid w:val="00EF615E"/>
    <w:rsid w:val="00F2045C"/>
    <w:rsid w:val="00F26DB2"/>
    <w:rsid w:val="00F6339B"/>
    <w:rsid w:val="00F652D8"/>
    <w:rsid w:val="00FA59FF"/>
    <w:rsid w:val="00FC7626"/>
    <w:rsid w:val="00FE0090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A452"/>
  <w15:chartTrackingRefBased/>
  <w15:docId w15:val="{263F05D4-4C3A-4987-B298-1D383F27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Chan</dc:creator>
  <cp:keywords/>
  <dc:description/>
  <cp:lastModifiedBy>Kiki Chan</cp:lastModifiedBy>
  <cp:revision>82</cp:revision>
  <dcterms:created xsi:type="dcterms:W3CDTF">2024-07-20T14:10:00Z</dcterms:created>
  <dcterms:modified xsi:type="dcterms:W3CDTF">2024-07-22T02:17:00Z</dcterms:modified>
</cp:coreProperties>
</file>