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Penjelasan Perhitungan Tp, Tm2,0 (TM02), dan Tm-1,0 (TMM10) dari Output SWAN (.sp1)</w:t>
      </w:r>
    </w:p>
    <w:p/>
    <w:p>
      <w:pPr>
        <w:spacing w:after="120"/>
      </w:pPr>
      <w:r>
        <w:t>Dokumen ini menjelaskan bagaimana nilai periode gelombang yang diekstrak dari hasil Delft3D-WAVE/SWAN dihitung dari file spektrum 1D (*.sp1). Parameter yang dijelaskan adalah periode puncak (Tp), mean period Tm2,0 (sering ditulis sebagai TM02), dan energy period Tm-1,0 (sering ditulis sebagai TMM10).</w:t>
      </w:r>
    </w:p>
    <w:p>
      <w:pPr>
        <w:spacing w:before="200" w:after="80"/>
      </w:pPr>
      <w:r>
        <w:rPr>
          <w:b/>
          <w:sz w:val="24"/>
        </w:rPr>
        <w:t>1. Spektrum gelombang pada file .sp1</w:t>
      </w:r>
    </w:p>
    <w:p>
      <w:r>
        <w:t>File .sp1 berisi spektrum satu-dimensi terhadap frekuensi, yaitu deret frekuensi f (Hz) dan nilai kerapatan energi/varian spektral E(f) untuk setiap titik output (LOCATION). Secara konsep, E(f) menunjukkan kontribusi energi gelombang pada frekuensi tertentu.</w:t>
      </w:r>
    </w:p>
    <w:p>
      <w:pPr>
        <w:spacing w:before="200" w:after="80"/>
      </w:pPr>
      <w:r>
        <w:rPr>
          <w:b/>
          <w:sz w:val="24"/>
        </w:rPr>
        <w:t>2. Momen spektrum</w:t>
      </w:r>
    </w:p>
    <w:p>
      <w:r>
        <w:t>Banyak parameter periode gelombang didefinisikan menggunakan momen spektrum. Momen orde n didefinisikan sebagai:</w:t>
      </w:r>
    </w:p>
    <w:p>
      <w:pPr>
        <w:spacing w:after="120"/>
        <w:jc w:val="center"/>
      </w:pPr>
      <w:r>
        <w:rPr>
          <w:rFonts w:ascii="Cambria Math" w:hAnsi="Cambria Math" w:eastAsia="Cambria Math"/>
          <w:b w:val="0"/>
          <w:i/>
          <w:sz w:val="22"/>
        </w:rPr>
        <w:t>m</w:t>
      </w:r>
      <w:r>
        <w:rPr>
          <w:rFonts w:ascii="Cambria Math" w:hAnsi="Cambria Math" w:eastAsia="Cambria Math"/>
          <w:b w:val="0"/>
          <w:i/>
          <w:sz w:val="22"/>
          <w:vertAlign w:val="subscript"/>
        </w:rPr>
        <w:t>n</w:t>
      </w:r>
      <w:r>
        <w:rPr>
          <w:rFonts w:ascii="Cambria Math" w:hAnsi="Cambria Math" w:eastAsia="Cambria Math"/>
          <w:b w:val="0"/>
          <w:i w:val="0"/>
          <w:sz w:val="22"/>
        </w:rPr>
        <w:t xml:space="preserve"> = </w:t>
      </w:r>
      <w:r>
        <w:rPr>
          <w:rFonts w:ascii="Cambria Math" w:hAnsi="Cambria Math" w:eastAsia="Cambria Math"/>
          <w:b w:val="0"/>
          <w:i w:val="0"/>
          <w:sz w:val="22"/>
        </w:rPr>
        <w:t>∫</w:t>
      </w:r>
      <w:r>
        <w:rPr>
          <w:rFonts w:ascii="Cambria Math" w:hAnsi="Cambria Math" w:eastAsia="Cambria Math"/>
          <w:b w:val="0"/>
          <w:i w:val="0"/>
          <w:sz w:val="22"/>
          <w:vertAlign w:val="subscript"/>
        </w:rPr>
        <w:t>0</w:t>
      </w:r>
      <w:r>
        <w:rPr>
          <w:rFonts w:ascii="Cambria Math" w:hAnsi="Cambria Math" w:eastAsia="Cambria Math"/>
          <w:b w:val="0"/>
          <w:i w:val="0"/>
          <w:sz w:val="22"/>
          <w:vertAlign w:val="superscript"/>
        </w:rPr>
        <w:t>∞</w:t>
      </w:r>
      <w:r>
        <w:rPr>
          <w:rFonts w:ascii="Cambria Math" w:hAnsi="Cambria Math" w:eastAsia="Cambria Math"/>
          <w:b w:val="0"/>
          <w:i/>
          <w:sz w:val="22"/>
        </w:rPr>
        <w:t xml:space="preserve"> f</w:t>
      </w:r>
      <w:r>
        <w:rPr>
          <w:rFonts w:ascii="Cambria Math" w:hAnsi="Cambria Math" w:eastAsia="Cambria Math"/>
          <w:b w:val="0"/>
          <w:i/>
          <w:sz w:val="22"/>
          <w:vertAlign w:val="superscript"/>
        </w:rPr>
        <w:t>n</w:t>
      </w:r>
      <w:r>
        <w:rPr>
          <w:rFonts w:ascii="Cambria Math" w:hAnsi="Cambria Math" w:eastAsia="Cambria Math"/>
          <w:b w:val="0"/>
          <w:i/>
          <w:sz w:val="22"/>
        </w:rPr>
        <w:t xml:space="preserve"> E(f) df</w:t>
      </w:r>
    </w:p>
    <w:p>
      <w:r>
        <w:t>Pada implementasi script, integral dihitung secara numerik menggunakan aturan trapezoid (numpy.trapz) pada frekuensi diskret yang tersedia di AFREQ.</w:t>
      </w:r>
    </w:p>
    <w:p>
      <w:pPr>
        <w:spacing w:before="200" w:after="80"/>
      </w:pPr>
      <w:r>
        <w:rPr>
          <w:b/>
          <w:sz w:val="24"/>
        </w:rPr>
        <w:t>3. Periode puncak spektrum (Tp)</w:t>
      </w:r>
    </w:p>
    <w:p>
      <w:r>
        <w:t>Periode puncak (Tp) ditentukan dari frekuensi puncak spektrum, yaitu frekuensi dimana E(f) maksimum:</w:t>
      </w:r>
    </w:p>
    <w:p>
      <w:pPr>
        <w:spacing w:after="120"/>
        <w:jc w:val="center"/>
      </w:pPr>
      <w:r>
        <w:rPr>
          <w:rFonts w:ascii="Cambria Math" w:hAnsi="Cambria Math" w:eastAsia="Cambria Math"/>
          <w:b w:val="0"/>
          <w:i/>
          <w:sz w:val="22"/>
        </w:rPr>
        <w:t>f</w:t>
      </w:r>
      <w:r>
        <w:rPr>
          <w:rFonts w:ascii="Cambria Math" w:hAnsi="Cambria Math" w:eastAsia="Cambria Math"/>
          <w:b w:val="0"/>
          <w:i/>
          <w:sz w:val="22"/>
          <w:vertAlign w:val="subscript"/>
        </w:rPr>
        <w:t>p</w:t>
      </w:r>
      <w:r>
        <w:rPr>
          <w:rFonts w:ascii="Cambria Math" w:hAnsi="Cambria Math" w:eastAsia="Cambria Math"/>
          <w:b w:val="0"/>
          <w:i/>
          <w:sz w:val="22"/>
        </w:rPr>
        <w:t xml:space="preserve"> = arg max</w:t>
      </w:r>
      <w:r>
        <w:rPr>
          <w:rFonts w:ascii="Cambria Math" w:hAnsi="Cambria Math" w:eastAsia="Cambria Math"/>
          <w:b w:val="0"/>
          <w:i w:val="0"/>
          <w:sz w:val="22"/>
        </w:rPr>
        <w:t xml:space="preserve"> </w:t>
      </w:r>
      <w:r>
        <w:rPr>
          <w:rFonts w:ascii="Cambria Math" w:hAnsi="Cambria Math" w:eastAsia="Cambria Math"/>
          <w:b w:val="0"/>
          <w:i/>
          <w:sz w:val="22"/>
        </w:rPr>
        <w:t>E(f)</w:t>
      </w:r>
    </w:p>
    <w:p>
      <w:r>
        <w:t>Kemudian periode puncak dihitung sebagai:</w:t>
      </w:r>
    </w:p>
    <w:p>
      <w:pPr>
        <w:spacing w:after="120"/>
        <w:jc w:val="center"/>
      </w:pPr>
      <w:r>
        <w:rPr>
          <w:rFonts w:ascii="Cambria Math" w:hAnsi="Cambria Math" w:eastAsia="Cambria Math"/>
          <w:b w:val="0"/>
          <w:i/>
          <w:sz w:val="22"/>
        </w:rPr>
        <w:t>T</w:t>
      </w:r>
      <w:r>
        <w:rPr>
          <w:rFonts w:ascii="Cambria Math" w:hAnsi="Cambria Math" w:eastAsia="Cambria Math"/>
          <w:b w:val="0"/>
          <w:i/>
          <w:sz w:val="22"/>
          <w:vertAlign w:val="subscript"/>
        </w:rPr>
        <w:t>p</w:t>
      </w:r>
      <w:r>
        <w:rPr>
          <w:rFonts w:ascii="Cambria Math" w:hAnsi="Cambria Math" w:eastAsia="Cambria Math"/>
          <w:b w:val="0"/>
          <w:i/>
          <w:sz w:val="22"/>
        </w:rPr>
        <w:t xml:space="preserve"> = 1 / f</w:t>
      </w:r>
      <w:r>
        <w:rPr>
          <w:rFonts w:ascii="Cambria Math" w:hAnsi="Cambria Math" w:eastAsia="Cambria Math"/>
          <w:b w:val="0"/>
          <w:i/>
          <w:sz w:val="22"/>
          <w:vertAlign w:val="subscript"/>
        </w:rPr>
        <w:t>p</w:t>
      </w:r>
    </w:p>
    <w:p>
      <w:r>
        <w:t>Di script, langkah ini dilakukan dengan memilih indeks maksimum E(f) pada setiap lokasi (argmax), mengambil fp, lalu menghitung Tp = 1/fp.</w:t>
      </w:r>
    </w:p>
    <w:p>
      <w:pPr>
        <w:spacing w:before="200" w:after="80"/>
      </w:pPr>
      <w:r>
        <w:rPr>
          <w:b/>
          <w:sz w:val="24"/>
        </w:rPr>
        <w:t>4. Mean period Tm2,0 (TM02)</w:t>
      </w:r>
    </w:p>
    <w:p>
      <w:r>
        <w:t>Mean period Tm2,0 (TM02) didefinisikan menggunakan momen m0 dan m2:</w:t>
      </w:r>
    </w:p>
    <w:p>
      <w:pPr>
        <w:spacing w:after="120"/>
        <w:jc w:val="center"/>
      </w:pPr>
      <w:r>
        <w:rPr>
          <w:rFonts w:ascii="Cambria Math" w:hAnsi="Cambria Math" w:eastAsia="Cambria Math"/>
          <w:b w:val="0"/>
          <w:i/>
          <w:sz w:val="22"/>
        </w:rPr>
        <w:t>T</w:t>
      </w:r>
      <w:r>
        <w:rPr>
          <w:rFonts w:ascii="Cambria Math" w:hAnsi="Cambria Math" w:eastAsia="Cambria Math"/>
          <w:b w:val="0"/>
          <w:i/>
          <w:sz w:val="22"/>
          <w:vertAlign w:val="subscript"/>
        </w:rPr>
        <w:t>m2,0</w:t>
      </w:r>
      <w:r>
        <w:rPr>
          <w:rFonts w:ascii="Cambria Math" w:hAnsi="Cambria Math" w:eastAsia="Cambria Math"/>
          <w:b w:val="0"/>
          <w:i/>
          <w:sz w:val="22"/>
        </w:rPr>
        <w:t xml:space="preserve"> = √(</w:t>
      </w:r>
      <w:r>
        <w:rPr>
          <w:rFonts w:ascii="Cambria Math" w:hAnsi="Cambria Math" w:eastAsia="Cambria Math"/>
          <w:b w:val="0"/>
          <w:i/>
          <w:sz w:val="22"/>
        </w:rPr>
        <w:t>m</w:t>
      </w:r>
      <w:r>
        <w:rPr>
          <w:rFonts w:ascii="Cambria Math" w:hAnsi="Cambria Math" w:eastAsia="Cambria Math"/>
          <w:b w:val="0"/>
          <w:i/>
          <w:sz w:val="22"/>
          <w:vertAlign w:val="subscript"/>
        </w:rPr>
        <w:t>0</w:t>
      </w:r>
      <w:r>
        <w:rPr>
          <w:rFonts w:ascii="Cambria Math" w:hAnsi="Cambria Math" w:eastAsia="Cambria Math"/>
          <w:b w:val="0"/>
          <w:i/>
          <w:sz w:val="22"/>
        </w:rPr>
        <w:t xml:space="preserve"> / </w:t>
      </w:r>
      <w:r>
        <w:rPr>
          <w:rFonts w:ascii="Cambria Math" w:hAnsi="Cambria Math" w:eastAsia="Cambria Math"/>
          <w:b w:val="0"/>
          <w:i/>
          <w:sz w:val="22"/>
        </w:rPr>
        <w:t>m</w:t>
      </w:r>
      <w:r>
        <w:rPr>
          <w:rFonts w:ascii="Cambria Math" w:hAnsi="Cambria Math" w:eastAsia="Cambria Math"/>
          <w:b w:val="0"/>
          <w:i/>
          <w:sz w:val="22"/>
          <w:vertAlign w:val="subscript"/>
        </w:rPr>
        <w:t>2</w:t>
      </w:r>
      <w:r>
        <w:rPr>
          <w:rFonts w:ascii="Cambria Math" w:hAnsi="Cambria Math" w:eastAsia="Cambria Math"/>
          <w:b w:val="0"/>
          <w:i/>
          <w:sz w:val="22"/>
        </w:rPr>
        <w:t>)</w:t>
      </w:r>
    </w:p>
    <w:p>
      <w:r>
        <w:t>Dengan m2 memasukkan faktor f^2, TM02 menjadi lebih sensitif terhadap bagian spektrum pada frekuensi lebih tinggi (periode lebih pendek) dibanding Tp.</w:t>
      </w:r>
    </w:p>
    <w:p>
      <w:pPr>
        <w:spacing w:before="200" w:after="80"/>
      </w:pPr>
      <w:r>
        <w:rPr>
          <w:b/>
          <w:sz w:val="24"/>
        </w:rPr>
        <w:t>5. Energy period Tm-1,0 (TMM10)</w:t>
      </w:r>
    </w:p>
    <w:p>
      <w:r>
        <w:t>Energy period Tm-1,0 (TMM10) didefinisikan menggunakan momen m-1 dan m0:</w:t>
      </w:r>
    </w:p>
    <w:p>
      <w:pPr>
        <w:spacing w:after="120"/>
        <w:jc w:val="center"/>
      </w:pPr>
      <w:r>
        <w:rPr>
          <w:rFonts w:ascii="Cambria Math" w:hAnsi="Cambria Math" w:eastAsia="Cambria Math"/>
          <w:b w:val="0"/>
          <w:i/>
          <w:sz w:val="22"/>
        </w:rPr>
        <w:t>T</w:t>
      </w:r>
      <w:r>
        <w:rPr>
          <w:rFonts w:ascii="Cambria Math" w:hAnsi="Cambria Math" w:eastAsia="Cambria Math"/>
          <w:b w:val="0"/>
          <w:i/>
          <w:sz w:val="22"/>
          <w:vertAlign w:val="subscript"/>
        </w:rPr>
        <w:t>m-1,0</w:t>
      </w:r>
      <w:r>
        <w:rPr>
          <w:rFonts w:ascii="Cambria Math" w:hAnsi="Cambria Math" w:eastAsia="Cambria Math"/>
          <w:b w:val="0"/>
          <w:i/>
          <w:sz w:val="22"/>
        </w:rPr>
        <w:t xml:space="preserve"> = </w:t>
      </w:r>
      <w:r>
        <w:rPr>
          <w:rFonts w:ascii="Cambria Math" w:hAnsi="Cambria Math" w:eastAsia="Cambria Math"/>
          <w:b w:val="0"/>
          <w:i/>
          <w:sz w:val="22"/>
        </w:rPr>
        <w:t>m</w:t>
      </w:r>
      <w:r>
        <w:rPr>
          <w:rFonts w:ascii="Cambria Math" w:hAnsi="Cambria Math" w:eastAsia="Cambria Math"/>
          <w:b w:val="0"/>
          <w:i/>
          <w:sz w:val="22"/>
          <w:vertAlign w:val="subscript"/>
        </w:rPr>
        <w:t>-1</w:t>
      </w:r>
      <w:r>
        <w:rPr>
          <w:rFonts w:ascii="Cambria Math" w:hAnsi="Cambria Math" w:eastAsia="Cambria Math"/>
          <w:b w:val="0"/>
          <w:i/>
          <w:sz w:val="22"/>
        </w:rPr>
        <w:t xml:space="preserve"> / </w:t>
      </w:r>
      <w:r>
        <w:rPr>
          <w:rFonts w:ascii="Cambria Math" w:hAnsi="Cambria Math" w:eastAsia="Cambria Math"/>
          <w:b w:val="0"/>
          <w:i/>
          <w:sz w:val="22"/>
        </w:rPr>
        <w:t>m</w:t>
      </w:r>
      <w:r>
        <w:rPr>
          <w:rFonts w:ascii="Cambria Math" w:hAnsi="Cambria Math" w:eastAsia="Cambria Math"/>
          <w:b w:val="0"/>
          <w:i/>
          <w:sz w:val="22"/>
          <w:vertAlign w:val="subscript"/>
        </w:rPr>
        <w:t>0</w:t>
      </w:r>
    </w:p>
    <w:p>
      <w:r>
        <w:t>Karena m-1 mengandung faktor 1/f, parameter ini memberi bobot lebih besar pada energi frekuensi rendah (periode panjang). Oleh sebab itu Tm-1,0 sering lebih besar daripada TM02 dan banyak dipakai pada perhitungan energi/power gelombang.</w:t>
      </w:r>
    </w:p>
    <w:p>
      <w:pPr>
        <w:spacing w:before="200" w:after="80"/>
      </w:pPr>
      <w:r>
        <w:rPr>
          <w:b/>
          <w:sz w:val="24"/>
        </w:rPr>
        <w:t>6. Hubungan dengan script Python yang digunakan</w:t>
      </w:r>
    </w:p>
    <w:p>
      <w:r>
        <w:t>Script membaca frekuensi dari blok AFREQ dan membaca EnDens per lokasi dari blok LOCATION pada file .sp1. Selanjutnya, script menghitung m0, m2, dan m-1 menggunakan integrasi trapezoid terhadap frekuensi, kemudian menghasilkan Tp, TM02, dan TMM10 sesuai rumus di atas. Hasil akhirnya diekspor ke CSV dengan kolom koordinat (XP, YP) dan nilai periode dalam detik.</w:t>
      </w:r>
    </w:p>
    <w:p>
      <w:pPr>
        <w:spacing w:before="200" w:after="80"/>
      </w:pPr>
      <w:r>
        <w:rPr>
          <w:b/>
          <w:sz w:val="24"/>
        </w:rPr>
        <w:t>7. Catatan singkat mengenai 'relative' vs 'absolute'</w:t>
      </w:r>
    </w:p>
    <w:p>
      <w:r>
        <w:t>Pada SWAN, beberapa parameter dapat dilaporkan sebagai 'absolute' (AFREQ) atau 'relative' (RFREQ), terutama bila ada arus (current) yang menyebabkan efek Doppler. Perhitungan pada dokumen ini memakai spektrum AFREQ (absolute). Jika model menggunakan RFREQ, rumusnya sama namun frekuensi yang dipakai adalah frekuensi relatif.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