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sz w:val="32"/>
          <w:szCs w:val="40"/>
          <w:lang w:val="en-US" w:eastAsia="zh-CN"/>
        </w:rPr>
      </w:pPr>
      <w:r>
        <w:rPr>
          <w:rFonts w:hint="eastAsia"/>
          <w:sz w:val="32"/>
          <w:szCs w:val="40"/>
          <w:lang w:val="en-US" w:eastAsia="zh-CN"/>
        </w:rPr>
        <w:t>调研任务2  软件项目行业背景及规范的调查研究</w:t>
      </w:r>
    </w:p>
    <w:p>
      <w:pPr>
        <w:numPr>
          <w:ilvl w:val="0"/>
          <w:numId w:val="1"/>
        </w:numPr>
        <w:ind w:left="0" w:leftChars="0" w:firstLine="420" w:firstLineChars="0"/>
        <w:jc w:val="both"/>
        <w:rPr>
          <w:rFonts w:hint="default"/>
          <w:sz w:val="32"/>
          <w:szCs w:val="40"/>
          <w:lang w:val="en-US" w:eastAsia="zh-CN"/>
        </w:rPr>
      </w:pPr>
      <w:r>
        <w:rPr>
          <w:rFonts w:hint="eastAsia"/>
          <w:sz w:val="32"/>
          <w:szCs w:val="40"/>
          <w:lang w:val="en-US" w:eastAsia="zh-CN"/>
        </w:rPr>
        <w:t>调研内容</w:t>
      </w:r>
    </w:p>
    <w:p>
      <w:pPr>
        <w:numPr>
          <w:ilvl w:val="0"/>
          <w:numId w:val="2"/>
        </w:numPr>
        <w:ind w:left="425" w:leftChars="0" w:hanging="425" w:firstLineChars="0"/>
        <w:jc w:val="both"/>
        <w:rPr>
          <w:rFonts w:hint="default"/>
          <w:sz w:val="24"/>
          <w:szCs w:val="32"/>
          <w:lang w:val="en-US" w:eastAsia="zh-CN"/>
        </w:rPr>
      </w:pPr>
      <w:r>
        <w:rPr>
          <w:rFonts w:hint="eastAsia"/>
          <w:sz w:val="24"/>
          <w:szCs w:val="32"/>
          <w:lang w:val="en-US" w:eastAsia="zh-CN"/>
        </w:rPr>
        <w:t>食品行业对软件的需求</w:t>
      </w:r>
    </w:p>
    <w:p>
      <w:pPr>
        <w:numPr>
          <w:ilvl w:val="0"/>
          <w:numId w:val="2"/>
        </w:numPr>
        <w:ind w:left="425" w:leftChars="0" w:hanging="425" w:firstLineChars="0"/>
        <w:jc w:val="both"/>
        <w:rPr>
          <w:rFonts w:hint="default"/>
          <w:sz w:val="24"/>
          <w:szCs w:val="32"/>
          <w:lang w:val="en-US" w:eastAsia="zh-CN"/>
        </w:rPr>
      </w:pPr>
      <w:r>
        <w:rPr>
          <w:rFonts w:hint="eastAsia"/>
          <w:sz w:val="24"/>
          <w:szCs w:val="32"/>
          <w:lang w:val="en-US" w:eastAsia="zh-CN"/>
        </w:rPr>
        <w:t>已发布的行业政策</w:t>
      </w:r>
    </w:p>
    <w:p>
      <w:pPr>
        <w:numPr>
          <w:ilvl w:val="0"/>
          <w:numId w:val="2"/>
        </w:numPr>
        <w:ind w:left="425" w:leftChars="0" w:hanging="425" w:firstLineChars="0"/>
        <w:jc w:val="both"/>
        <w:rPr>
          <w:rFonts w:hint="default"/>
          <w:sz w:val="24"/>
          <w:szCs w:val="32"/>
          <w:lang w:val="en-US" w:eastAsia="zh-CN"/>
        </w:rPr>
      </w:pPr>
      <w:r>
        <w:rPr>
          <w:rFonts w:hint="eastAsia"/>
          <w:sz w:val="24"/>
          <w:szCs w:val="32"/>
          <w:lang w:val="en-US" w:eastAsia="zh-CN"/>
        </w:rPr>
        <w:t>法律和法规及其意义</w:t>
      </w:r>
    </w:p>
    <w:p>
      <w:pPr>
        <w:numPr>
          <w:ilvl w:val="0"/>
          <w:numId w:val="1"/>
        </w:numPr>
        <w:ind w:left="0" w:leftChars="0" w:firstLine="420" w:firstLineChars="0"/>
        <w:jc w:val="both"/>
        <w:rPr>
          <w:rFonts w:hint="default"/>
          <w:sz w:val="32"/>
          <w:szCs w:val="40"/>
          <w:lang w:val="en-US" w:eastAsia="zh-CN"/>
        </w:rPr>
      </w:pPr>
      <w:r>
        <w:rPr>
          <w:rFonts w:hint="eastAsia"/>
          <w:sz w:val="32"/>
          <w:szCs w:val="40"/>
          <w:lang w:val="en-US" w:eastAsia="zh-CN"/>
        </w:rPr>
        <w:t>调研报告基本内容</w:t>
      </w:r>
    </w:p>
    <w:p>
      <w:pPr>
        <w:numPr>
          <w:ilvl w:val="0"/>
          <w:numId w:val="3"/>
        </w:numPr>
        <w:ind w:left="425" w:leftChars="0" w:hanging="425" w:firstLineChars="0"/>
        <w:jc w:val="both"/>
        <w:rPr>
          <w:rFonts w:hint="default"/>
          <w:b/>
          <w:bCs/>
          <w:sz w:val="28"/>
          <w:szCs w:val="36"/>
          <w:lang w:val="en-US" w:eastAsia="zh-CN"/>
        </w:rPr>
      </w:pPr>
      <w:r>
        <w:rPr>
          <w:rFonts w:hint="eastAsia"/>
          <w:b/>
          <w:bCs/>
          <w:sz w:val="28"/>
          <w:szCs w:val="36"/>
          <w:lang w:val="en-US" w:eastAsia="zh-CN"/>
        </w:rPr>
        <w:t>食品行业对软件的需求情况</w:t>
      </w:r>
    </w:p>
    <w:p>
      <w:pPr>
        <w:numPr>
          <w:numId w:val="0"/>
        </w:numPr>
        <w:ind w:leftChars="0" w:firstLine="440" w:firstLineChars="200"/>
        <w:jc w:val="both"/>
        <w:rPr>
          <w:rFonts w:hint="default"/>
          <w:b w:val="0"/>
          <w:bCs w:val="0"/>
          <w:sz w:val="22"/>
          <w:szCs w:val="28"/>
          <w:lang w:val="en-US" w:eastAsia="zh-CN"/>
        </w:rPr>
      </w:pPr>
      <w:r>
        <w:rPr>
          <w:rFonts w:hint="default"/>
          <w:b w:val="0"/>
          <w:bCs w:val="0"/>
          <w:sz w:val="22"/>
          <w:szCs w:val="28"/>
          <w:lang w:val="en-US" w:eastAsia="zh-CN"/>
        </w:rPr>
        <w:t>随着食品行业竞争的加剧，市场日趋饱和，粗放式管理的缺陷日益暴露，导致食品行业企业利润不同程度的下滑，要想满足食品行业客户个性化的需求，适应未来的发展，亟需一整套食品行业管理系统软件建立科学的管理体系，提供整体的食品行业信息化解决方案。越来越多的企业也认识到食品行业管理系统的重要性，特别是云计算、大数据、区块链、人工智能AI在食品行业软件的拓展应用，使食品行业管理系统更加智能化、便捷化，功能更加强大，界面更加美观，使用更加方便。运筹软件在食品行业管理系统领域积累了多年的管理知识库及研发经验，2005年率先推出了运筹软件—食品行业智能管理系统，为了抢占先机，秉承做最好的食品行业系统，还要坚持食品行业软件价格低廉。在全国市场迅速铺开，成功击败了众多食品行业系统厂商，短短几年内成长为食品行业软件的国家重点企业，成为食品行业软件品牌的佼佼者，近几年顺应国家信息化企业上云、新旧动能转换、互联网+、一带一路等政策号召，通过运筹大数据管理平台，充分考虑到企业的当前需求及未来管理的需要不断迭代优化，在各主流食品行业系统排行、十大品牌榜中名列前茅。运筹软件—食品行业软件为企业提供了全面的系统解决方案，融入世界管理大师的先进管理思想，帮助企业建立以客户为中心的经营理念、组织模式、业务规则及评估系统，形成一套整体的科学管控体系。深入到企业管理执行的每一环节，全面提高企业管理水平及核心竞争力。</w:t>
      </w:r>
    </w:p>
    <w:p>
      <w:pPr>
        <w:numPr>
          <w:numId w:val="0"/>
        </w:numPr>
        <w:ind w:leftChars="0" w:firstLine="440" w:firstLineChars="200"/>
        <w:jc w:val="both"/>
        <w:rPr>
          <w:rFonts w:hint="default"/>
          <w:b w:val="0"/>
          <w:bCs w:val="0"/>
          <w:sz w:val="22"/>
          <w:szCs w:val="28"/>
          <w:lang w:val="en-US" w:eastAsia="zh-CN"/>
        </w:rPr>
      </w:pPr>
      <w:r>
        <w:rPr>
          <w:rFonts w:hint="default"/>
          <w:b w:val="0"/>
          <w:bCs w:val="0"/>
          <w:sz w:val="22"/>
          <w:szCs w:val="28"/>
          <w:lang w:val="en-US" w:eastAsia="zh-CN"/>
        </w:rPr>
        <w:t>运筹软件：涵盖了客户关系管理、销售管理、项目管理、供应链管理、客户服务管理、财务管理、人力资源管理等辅助各部门协同工作。集CRM、ERP、OA、HR于一体，全面不失细致，着重销售流程体系及生产流程体系的过程管控。通过本软件即可全面掌控企业的人、财、物一体化管理。运筹软件业务执行层、管理控制层、决策规划层各功能模块清晰明确，浑然一体。全方位提升企业管理水平，这是我们持续不懈的追求。</w:t>
      </w:r>
    </w:p>
    <w:p>
      <w:pPr>
        <w:numPr>
          <w:numId w:val="0"/>
        </w:numPr>
        <w:ind w:leftChars="0" w:firstLine="440" w:firstLineChars="200"/>
        <w:jc w:val="both"/>
        <w:rPr>
          <w:rFonts w:hint="default"/>
          <w:b w:val="0"/>
          <w:bCs w:val="0"/>
          <w:sz w:val="22"/>
          <w:szCs w:val="28"/>
          <w:lang w:val="en-US" w:eastAsia="zh-CN"/>
        </w:rPr>
      </w:pPr>
      <w:r>
        <w:rPr>
          <w:rFonts w:hint="default"/>
          <w:b w:val="0"/>
          <w:bCs w:val="0"/>
          <w:sz w:val="22"/>
          <w:szCs w:val="28"/>
          <w:lang w:val="en-US" w:eastAsia="zh-CN"/>
        </w:rPr>
        <w:t>运筹软件—食品行业通过可靠完善的软件系统配套科学的实施方案、专业工程师的售后服务。短时间内帮助企业建立一套高效的管控体系。项目建设周期短、成本低、风险小。</w:t>
      </w:r>
    </w:p>
    <w:p>
      <w:pPr>
        <w:numPr>
          <w:ilvl w:val="0"/>
          <w:numId w:val="3"/>
        </w:numPr>
        <w:ind w:left="425" w:leftChars="0" w:hanging="425" w:firstLineChars="0"/>
        <w:jc w:val="both"/>
        <w:rPr>
          <w:rFonts w:hint="default"/>
          <w:b/>
          <w:bCs/>
          <w:sz w:val="28"/>
          <w:szCs w:val="36"/>
          <w:lang w:val="en-US" w:eastAsia="zh-CN"/>
        </w:rPr>
      </w:pPr>
      <w:r>
        <w:rPr>
          <w:rFonts w:hint="eastAsia"/>
          <w:b/>
          <w:bCs/>
          <w:sz w:val="28"/>
          <w:szCs w:val="36"/>
          <w:lang w:val="en-US" w:eastAsia="zh-CN"/>
        </w:rPr>
        <w:t>软件项目所属行业的与软件开发相关的已有规范，包括相关政策、法律和法规等。</w:t>
      </w:r>
    </w:p>
    <w:p>
      <w:pPr>
        <w:numPr>
          <w:ilvl w:val="0"/>
          <w:numId w:val="4"/>
        </w:numPr>
        <w:ind w:left="0" w:leftChars="0" w:firstLine="420" w:firstLineChars="0"/>
        <w:jc w:val="both"/>
        <w:rPr>
          <w:rFonts w:hint="default"/>
          <w:b/>
          <w:bCs/>
          <w:sz w:val="28"/>
          <w:szCs w:val="36"/>
          <w:lang w:val="en-US" w:eastAsia="zh-CN"/>
        </w:rPr>
      </w:pPr>
      <w:r>
        <w:rPr>
          <w:rFonts w:hint="eastAsia"/>
          <w:b/>
          <w:bCs/>
          <w:sz w:val="28"/>
          <w:szCs w:val="36"/>
          <w:lang w:val="en-US" w:eastAsia="zh-CN"/>
        </w:rPr>
        <w:t>相关政策</w:t>
      </w:r>
    </w:p>
    <w:tbl>
      <w:tblPr>
        <w:tblW w:w="816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Layout w:type="autofit"/>
        <w:tblCellMar>
          <w:top w:w="0" w:type="dxa"/>
          <w:left w:w="0" w:type="dxa"/>
          <w:bottom w:w="0" w:type="dxa"/>
          <w:right w:w="0" w:type="dxa"/>
        </w:tblCellMar>
      </w:tblPr>
      <w:tblGrid>
        <w:gridCol w:w="1514"/>
        <w:gridCol w:w="2103"/>
        <w:gridCol w:w="1514"/>
        <w:gridCol w:w="3029"/>
      </w:tblGrid>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567" w:hRule="atLeast"/>
        </w:trPr>
        <w:tc>
          <w:tcPr>
            <w:tcW w:w="900" w:type="pct"/>
            <w:tcBorders>
              <w:top w:val="single" w:color="auto" w:sz="8" w:space="0"/>
              <w:left w:val="single" w:color="auto" w:sz="8" w:space="0"/>
              <w:bottom w:val="single" w:color="auto" w:sz="8" w:space="0"/>
              <w:right w:val="single" w:color="auto" w:sz="8" w:space="0"/>
            </w:tcBorders>
            <w:shd w:val="clear" w:color="auto" w:fill="1A6688"/>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ascii="微软雅黑" w:hAnsi="微软雅黑" w:eastAsia="微软雅黑" w:cs="微软雅黑"/>
                <w:sz w:val="14"/>
                <w:szCs w:val="14"/>
              </w:rPr>
            </w:pPr>
            <w:r>
              <w:rPr>
                <w:rFonts w:hint="eastAsia" w:ascii="微软雅黑" w:hAnsi="微软雅黑" w:eastAsia="微软雅黑" w:cs="微软雅黑"/>
                <w:b/>
                <w:bCs/>
                <w:i w:val="0"/>
                <w:iCs w:val="0"/>
                <w:caps w:val="0"/>
                <w:color w:val="FFFFFF"/>
                <w:spacing w:val="0"/>
                <w:kern w:val="0"/>
                <w:sz w:val="14"/>
                <w:szCs w:val="14"/>
                <w:lang w:val="en-US" w:eastAsia="zh-CN" w:bidi="ar"/>
              </w:rPr>
              <w:t>发布时间</w:t>
            </w:r>
          </w:p>
        </w:tc>
        <w:tc>
          <w:tcPr>
            <w:tcW w:w="1250" w:type="pct"/>
            <w:tcBorders>
              <w:top w:val="single" w:color="auto" w:sz="8" w:space="0"/>
              <w:left w:val="nil"/>
              <w:bottom w:val="single" w:color="auto" w:sz="8" w:space="0"/>
              <w:right w:val="single" w:color="auto" w:sz="8" w:space="0"/>
            </w:tcBorders>
            <w:shd w:val="clear" w:color="auto" w:fill="1A6688"/>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b/>
                <w:bCs/>
                <w:i w:val="0"/>
                <w:iCs w:val="0"/>
                <w:caps w:val="0"/>
                <w:color w:val="FFFFFF"/>
                <w:spacing w:val="0"/>
                <w:kern w:val="0"/>
                <w:sz w:val="14"/>
                <w:szCs w:val="14"/>
                <w:lang w:val="en-US" w:eastAsia="zh-CN" w:bidi="ar"/>
              </w:rPr>
              <w:t>产业政策</w:t>
            </w:r>
          </w:p>
        </w:tc>
        <w:tc>
          <w:tcPr>
            <w:tcW w:w="900" w:type="pct"/>
            <w:tcBorders>
              <w:top w:val="single" w:color="auto" w:sz="8" w:space="0"/>
              <w:left w:val="nil"/>
              <w:bottom w:val="single" w:color="auto" w:sz="8" w:space="0"/>
              <w:right w:val="single" w:color="auto" w:sz="8" w:space="0"/>
            </w:tcBorders>
            <w:shd w:val="clear" w:color="auto" w:fill="1A6688"/>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b/>
                <w:bCs/>
                <w:i w:val="0"/>
                <w:iCs w:val="0"/>
                <w:caps w:val="0"/>
                <w:color w:val="FFFFFF"/>
                <w:spacing w:val="0"/>
                <w:kern w:val="0"/>
                <w:sz w:val="14"/>
                <w:szCs w:val="14"/>
                <w:lang w:val="en-US" w:eastAsia="zh-CN" w:bidi="ar"/>
              </w:rPr>
              <w:t>发文部门</w:t>
            </w:r>
          </w:p>
        </w:tc>
        <w:tc>
          <w:tcPr>
            <w:tcW w:w="1800" w:type="pct"/>
            <w:tcBorders>
              <w:top w:val="single" w:color="auto" w:sz="8" w:space="0"/>
              <w:left w:val="nil"/>
              <w:bottom w:val="single" w:color="auto" w:sz="8" w:space="0"/>
              <w:right w:val="single" w:color="auto" w:sz="8" w:space="0"/>
            </w:tcBorders>
            <w:shd w:val="clear" w:color="auto" w:fill="1A6688"/>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b/>
                <w:bCs/>
                <w:i w:val="0"/>
                <w:iCs w:val="0"/>
                <w:caps w:val="0"/>
                <w:color w:val="FFFFFF"/>
                <w:spacing w:val="0"/>
                <w:kern w:val="0"/>
                <w:sz w:val="14"/>
                <w:szCs w:val="14"/>
                <w:lang w:val="en-US" w:eastAsia="zh-CN" w:bidi="ar"/>
              </w:rPr>
              <w:t>文件内容</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567" w:hRule="atLeast"/>
        </w:trPr>
        <w:tc>
          <w:tcPr>
            <w:tcW w:w="900" w:type="pct"/>
            <w:tcBorders>
              <w:top w:val="nil"/>
              <w:left w:val="single" w:color="auto" w:sz="8" w:space="0"/>
              <w:bottom w:val="single" w:color="auto" w:sz="8" w:space="0"/>
              <w:right w:val="single" w:color="auto" w:sz="8" w:space="0"/>
            </w:tcBorders>
            <w:shd w:val="clear" w:color="auto" w:fill="FFFFFF"/>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i w:val="0"/>
                <w:iCs w:val="0"/>
                <w:caps w:val="0"/>
                <w:color w:val="3F4B5C"/>
                <w:spacing w:val="0"/>
                <w:kern w:val="0"/>
                <w:sz w:val="14"/>
                <w:szCs w:val="14"/>
                <w:lang w:val="en-US" w:eastAsia="zh-CN" w:bidi="ar"/>
              </w:rPr>
              <w:t>2020.07</w:t>
            </w:r>
          </w:p>
        </w:tc>
        <w:tc>
          <w:tcPr>
            <w:tcW w:w="1250" w:type="pct"/>
            <w:tcBorders>
              <w:top w:val="nil"/>
              <w:left w:val="nil"/>
              <w:bottom w:val="single" w:color="auto" w:sz="8" w:space="0"/>
              <w:right w:val="single" w:color="auto" w:sz="8" w:space="0"/>
            </w:tcBorders>
            <w:shd w:val="clear" w:color="auto" w:fill="FFFFFF"/>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i w:val="0"/>
                <w:iCs w:val="0"/>
                <w:caps w:val="0"/>
                <w:color w:val="3F4B5C"/>
                <w:spacing w:val="0"/>
                <w:kern w:val="0"/>
                <w:sz w:val="14"/>
                <w:szCs w:val="14"/>
                <w:lang w:val="en-US" w:eastAsia="zh-CN" w:bidi="ar"/>
              </w:rPr>
              <w:t>《新时期促进集成电路产业和软件产业高质量发展的若干政策》</w:t>
            </w:r>
          </w:p>
        </w:tc>
        <w:tc>
          <w:tcPr>
            <w:tcW w:w="900" w:type="pct"/>
            <w:tcBorders>
              <w:top w:val="nil"/>
              <w:left w:val="nil"/>
              <w:bottom w:val="single" w:color="auto" w:sz="8" w:space="0"/>
              <w:right w:val="single" w:color="auto" w:sz="8" w:space="0"/>
            </w:tcBorders>
            <w:shd w:val="clear" w:color="auto" w:fill="FFFFFF"/>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i w:val="0"/>
                <w:iCs w:val="0"/>
                <w:caps w:val="0"/>
                <w:color w:val="3F4B5C"/>
                <w:spacing w:val="0"/>
                <w:kern w:val="0"/>
                <w:sz w:val="14"/>
                <w:szCs w:val="14"/>
                <w:lang w:val="en-US" w:eastAsia="zh-CN" w:bidi="ar"/>
              </w:rPr>
              <w:t>国务院</w:t>
            </w:r>
          </w:p>
        </w:tc>
        <w:tc>
          <w:tcPr>
            <w:tcW w:w="1800" w:type="pct"/>
            <w:tcBorders>
              <w:top w:val="nil"/>
              <w:left w:val="nil"/>
              <w:bottom w:val="single" w:color="auto" w:sz="8" w:space="0"/>
              <w:right w:val="single" w:color="auto" w:sz="8" w:space="0"/>
            </w:tcBorders>
            <w:shd w:val="clear" w:color="auto" w:fill="FFFFFF"/>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i w:val="0"/>
                <w:iCs w:val="0"/>
                <w:caps w:val="0"/>
                <w:color w:val="3F4B5C"/>
                <w:spacing w:val="0"/>
                <w:kern w:val="0"/>
                <w:sz w:val="14"/>
                <w:szCs w:val="14"/>
                <w:lang w:val="en-US" w:eastAsia="zh-CN" w:bidi="ar"/>
              </w:rPr>
              <w:t>制定出台财税、投融资、研究开发、进出口、人才、知识产权、市场应用、国际合作等八个方面政策措施，进一步创新体制机制，鼓励集成电路产业和软件产业发展，大力培育集成电路领域和软件领域企业</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567" w:hRule="atLeast"/>
        </w:trPr>
        <w:tc>
          <w:tcPr>
            <w:tcW w:w="900" w:type="pct"/>
            <w:tcBorders>
              <w:top w:val="nil"/>
              <w:left w:val="single" w:color="auto" w:sz="8" w:space="0"/>
              <w:bottom w:val="single" w:color="auto" w:sz="8" w:space="0"/>
              <w:right w:val="single" w:color="auto" w:sz="8" w:space="0"/>
            </w:tcBorders>
            <w:shd w:val="clear" w:color="auto" w:fill="FFFFFF"/>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i w:val="0"/>
                <w:iCs w:val="0"/>
                <w:caps w:val="0"/>
                <w:color w:val="3F4B5C"/>
                <w:spacing w:val="0"/>
                <w:kern w:val="0"/>
                <w:sz w:val="14"/>
                <w:szCs w:val="14"/>
                <w:lang w:val="en-US" w:eastAsia="zh-CN" w:bidi="ar"/>
              </w:rPr>
              <w:t>2019.10</w:t>
            </w:r>
          </w:p>
        </w:tc>
        <w:tc>
          <w:tcPr>
            <w:tcW w:w="1250" w:type="pct"/>
            <w:tcBorders>
              <w:top w:val="nil"/>
              <w:left w:val="nil"/>
              <w:bottom w:val="single" w:color="auto" w:sz="8" w:space="0"/>
              <w:right w:val="single" w:color="auto" w:sz="8" w:space="0"/>
            </w:tcBorders>
            <w:shd w:val="clear" w:color="auto" w:fill="FFFFFF"/>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i w:val="0"/>
                <w:iCs w:val="0"/>
                <w:caps w:val="0"/>
                <w:color w:val="3F4B5C"/>
                <w:spacing w:val="0"/>
                <w:kern w:val="0"/>
                <w:sz w:val="14"/>
                <w:szCs w:val="14"/>
                <w:lang w:val="en-US" w:eastAsia="zh-CN" w:bidi="ar"/>
              </w:rPr>
              <w:t>《市场监管总局关于进一步推进检验检测机构资质认定改革工作的意见》</w:t>
            </w:r>
          </w:p>
        </w:tc>
        <w:tc>
          <w:tcPr>
            <w:tcW w:w="900" w:type="pct"/>
            <w:tcBorders>
              <w:top w:val="nil"/>
              <w:left w:val="nil"/>
              <w:bottom w:val="single" w:color="auto" w:sz="8" w:space="0"/>
              <w:right w:val="single" w:color="auto" w:sz="8" w:space="0"/>
            </w:tcBorders>
            <w:shd w:val="clear" w:color="auto" w:fill="FFFFFF"/>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i w:val="0"/>
                <w:iCs w:val="0"/>
                <w:caps w:val="0"/>
                <w:color w:val="3F4B5C"/>
                <w:spacing w:val="0"/>
                <w:kern w:val="0"/>
                <w:sz w:val="14"/>
                <w:szCs w:val="14"/>
                <w:lang w:val="en-US" w:eastAsia="zh-CN" w:bidi="ar"/>
              </w:rPr>
              <w:t>国家市场监督管理总局</w:t>
            </w:r>
          </w:p>
        </w:tc>
        <w:tc>
          <w:tcPr>
            <w:tcW w:w="1800" w:type="pct"/>
            <w:tcBorders>
              <w:top w:val="nil"/>
              <w:left w:val="nil"/>
              <w:bottom w:val="single" w:color="auto" w:sz="8" w:space="0"/>
              <w:right w:val="single" w:color="auto" w:sz="8" w:space="0"/>
            </w:tcBorders>
            <w:shd w:val="clear" w:color="auto" w:fill="FFFFFF"/>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i w:val="0"/>
                <w:iCs w:val="0"/>
                <w:caps w:val="0"/>
                <w:color w:val="3F4B5C"/>
                <w:spacing w:val="0"/>
                <w:kern w:val="0"/>
                <w:sz w:val="14"/>
                <w:szCs w:val="14"/>
                <w:lang w:val="en-US" w:eastAsia="zh-CN" w:bidi="ar"/>
              </w:rPr>
              <w:t>深入贯彻“放管服”改革要求，认真落实“证照分离”工作部署，进一步推进检验检测机构资质认定改革，创新完善检验检测市场监管体制机制，优化检验检测机构准入服务，加强事中事后监管，营造公平竞争、健康有序的检验检测市场营商环境</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567" w:hRule="atLeast"/>
        </w:trPr>
        <w:tc>
          <w:tcPr>
            <w:tcW w:w="900" w:type="pct"/>
            <w:tcBorders>
              <w:top w:val="nil"/>
              <w:left w:val="single" w:color="auto" w:sz="8" w:space="0"/>
              <w:bottom w:val="single" w:color="auto" w:sz="8" w:space="0"/>
              <w:right w:val="single" w:color="auto" w:sz="8" w:space="0"/>
            </w:tcBorders>
            <w:shd w:val="clear" w:color="auto" w:fill="FFFFFF"/>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i w:val="0"/>
                <w:iCs w:val="0"/>
                <w:caps w:val="0"/>
                <w:color w:val="3F4B5C"/>
                <w:spacing w:val="0"/>
                <w:kern w:val="0"/>
                <w:sz w:val="14"/>
                <w:szCs w:val="14"/>
                <w:lang w:val="en-US" w:eastAsia="zh-CN" w:bidi="ar"/>
              </w:rPr>
              <w:t>2019.03</w:t>
            </w:r>
          </w:p>
        </w:tc>
        <w:tc>
          <w:tcPr>
            <w:tcW w:w="1250" w:type="pct"/>
            <w:tcBorders>
              <w:top w:val="nil"/>
              <w:left w:val="nil"/>
              <w:bottom w:val="single" w:color="auto" w:sz="8" w:space="0"/>
              <w:right w:val="single" w:color="auto" w:sz="8" w:space="0"/>
            </w:tcBorders>
            <w:shd w:val="clear" w:color="auto" w:fill="FFFFFF"/>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i w:val="0"/>
                <w:iCs w:val="0"/>
                <w:caps w:val="0"/>
                <w:color w:val="3F4B5C"/>
                <w:spacing w:val="0"/>
                <w:kern w:val="0"/>
                <w:sz w:val="14"/>
                <w:szCs w:val="14"/>
                <w:lang w:val="en-US" w:eastAsia="zh-CN" w:bidi="ar"/>
              </w:rPr>
              <w:t>《工业大数据白皮书（2019版）》</w:t>
            </w:r>
          </w:p>
        </w:tc>
        <w:tc>
          <w:tcPr>
            <w:tcW w:w="900" w:type="pct"/>
            <w:tcBorders>
              <w:top w:val="nil"/>
              <w:left w:val="nil"/>
              <w:bottom w:val="single" w:color="auto" w:sz="8" w:space="0"/>
              <w:right w:val="single" w:color="auto" w:sz="8" w:space="0"/>
            </w:tcBorders>
            <w:shd w:val="clear" w:color="auto" w:fill="FFFFFF"/>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i w:val="0"/>
                <w:iCs w:val="0"/>
                <w:caps w:val="0"/>
                <w:color w:val="3F4B5C"/>
                <w:spacing w:val="0"/>
                <w:kern w:val="0"/>
                <w:sz w:val="14"/>
                <w:szCs w:val="14"/>
                <w:lang w:val="en-US" w:eastAsia="zh-CN" w:bidi="ar"/>
              </w:rPr>
              <w:t>工信部</w:t>
            </w:r>
          </w:p>
        </w:tc>
        <w:tc>
          <w:tcPr>
            <w:tcW w:w="1800" w:type="pct"/>
            <w:tcBorders>
              <w:top w:val="nil"/>
              <w:left w:val="nil"/>
              <w:bottom w:val="single" w:color="auto" w:sz="8" w:space="0"/>
              <w:right w:val="single" w:color="auto" w:sz="8" w:space="0"/>
            </w:tcBorders>
            <w:shd w:val="clear" w:color="auto" w:fill="FFFFFF"/>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i w:val="0"/>
                <w:iCs w:val="0"/>
                <w:caps w:val="0"/>
                <w:color w:val="3F4B5C"/>
                <w:spacing w:val="0"/>
                <w:kern w:val="0"/>
                <w:sz w:val="14"/>
                <w:szCs w:val="14"/>
                <w:lang w:val="en-US" w:eastAsia="zh-CN" w:bidi="ar"/>
              </w:rPr>
              <w:t>强调了标准化的重要性，指出深入推进工业大数据发展是全球工业企业所面临的共性课题，而工业大数据标准化工作则是支撑工业转型发展，提升我国国际话语权重要的基础</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567" w:hRule="atLeast"/>
        </w:trPr>
        <w:tc>
          <w:tcPr>
            <w:tcW w:w="900" w:type="pct"/>
            <w:tcBorders>
              <w:top w:val="nil"/>
              <w:left w:val="single" w:color="auto" w:sz="8" w:space="0"/>
              <w:bottom w:val="single" w:color="auto" w:sz="8" w:space="0"/>
              <w:right w:val="single" w:color="auto" w:sz="8" w:space="0"/>
            </w:tcBorders>
            <w:shd w:val="clear" w:color="auto" w:fill="FFFFFF"/>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i w:val="0"/>
                <w:iCs w:val="0"/>
                <w:caps w:val="0"/>
                <w:color w:val="3F4B5C"/>
                <w:spacing w:val="0"/>
                <w:kern w:val="0"/>
                <w:sz w:val="14"/>
                <w:szCs w:val="14"/>
                <w:lang w:val="en-US" w:eastAsia="zh-CN" w:bidi="ar"/>
              </w:rPr>
              <w:t>2019.01</w:t>
            </w:r>
          </w:p>
        </w:tc>
        <w:tc>
          <w:tcPr>
            <w:tcW w:w="1250" w:type="pct"/>
            <w:tcBorders>
              <w:top w:val="nil"/>
              <w:left w:val="nil"/>
              <w:bottom w:val="single" w:color="auto" w:sz="8" w:space="0"/>
              <w:right w:val="single" w:color="auto" w:sz="8" w:space="0"/>
            </w:tcBorders>
            <w:shd w:val="clear" w:color="auto" w:fill="FFFFFF"/>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i w:val="0"/>
                <w:iCs w:val="0"/>
                <w:caps w:val="0"/>
                <w:color w:val="3F4B5C"/>
                <w:spacing w:val="0"/>
                <w:kern w:val="0"/>
                <w:sz w:val="14"/>
                <w:szCs w:val="14"/>
                <w:lang w:val="en-US" w:eastAsia="zh-CN" w:bidi="ar"/>
              </w:rPr>
              <w:t>关于《服务外包产业重点发展领域指导目录（2018年版）》的公告</w:t>
            </w:r>
          </w:p>
        </w:tc>
        <w:tc>
          <w:tcPr>
            <w:tcW w:w="900" w:type="pct"/>
            <w:tcBorders>
              <w:top w:val="nil"/>
              <w:left w:val="nil"/>
              <w:bottom w:val="single" w:color="auto" w:sz="8" w:space="0"/>
              <w:right w:val="single" w:color="auto" w:sz="8" w:space="0"/>
            </w:tcBorders>
            <w:shd w:val="clear" w:color="auto" w:fill="FFFFFF"/>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i w:val="0"/>
                <w:iCs w:val="0"/>
                <w:caps w:val="0"/>
                <w:color w:val="3F4B5C"/>
                <w:spacing w:val="0"/>
                <w:kern w:val="0"/>
                <w:sz w:val="14"/>
                <w:szCs w:val="14"/>
                <w:lang w:val="en-US" w:eastAsia="zh-CN" w:bidi="ar"/>
              </w:rPr>
              <w:t>商务部、财政部、海关总署</w:t>
            </w:r>
          </w:p>
        </w:tc>
        <w:tc>
          <w:tcPr>
            <w:tcW w:w="1800" w:type="pct"/>
            <w:tcBorders>
              <w:top w:val="nil"/>
              <w:left w:val="nil"/>
              <w:bottom w:val="single" w:color="auto" w:sz="8" w:space="0"/>
              <w:right w:val="single" w:color="auto" w:sz="8" w:space="0"/>
            </w:tcBorders>
            <w:shd w:val="clear" w:color="auto" w:fill="FFFFFF"/>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i w:val="0"/>
                <w:iCs w:val="0"/>
                <w:caps w:val="0"/>
                <w:color w:val="3F4B5C"/>
                <w:spacing w:val="0"/>
                <w:kern w:val="0"/>
                <w:sz w:val="14"/>
                <w:szCs w:val="14"/>
                <w:lang w:val="en-US" w:eastAsia="zh-CN" w:bidi="ar"/>
              </w:rPr>
              <w:t>检验检测服务纳入该新版目录，主要业务类型：主要包括第三方医学检验检测服务、第三方食品检验检测服务、第三方消费用品检验检测服务、第三方工业产品检验检测服务等4个业务类型</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567" w:hRule="atLeast"/>
        </w:trPr>
        <w:tc>
          <w:tcPr>
            <w:tcW w:w="900" w:type="pct"/>
            <w:tcBorders>
              <w:top w:val="nil"/>
              <w:left w:val="single" w:color="auto" w:sz="8" w:space="0"/>
              <w:bottom w:val="single" w:color="auto" w:sz="8" w:space="0"/>
              <w:right w:val="single" w:color="auto" w:sz="8" w:space="0"/>
            </w:tcBorders>
            <w:shd w:val="clear" w:color="auto" w:fill="FFFFFF"/>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i w:val="0"/>
                <w:iCs w:val="0"/>
                <w:caps w:val="0"/>
                <w:color w:val="3F4B5C"/>
                <w:spacing w:val="0"/>
                <w:kern w:val="0"/>
                <w:sz w:val="14"/>
                <w:szCs w:val="14"/>
                <w:lang w:val="en-US" w:eastAsia="zh-CN" w:bidi="ar"/>
              </w:rPr>
              <w:t>2018.08</w:t>
            </w:r>
          </w:p>
        </w:tc>
        <w:tc>
          <w:tcPr>
            <w:tcW w:w="1250" w:type="pct"/>
            <w:tcBorders>
              <w:top w:val="nil"/>
              <w:left w:val="nil"/>
              <w:bottom w:val="single" w:color="auto" w:sz="8" w:space="0"/>
              <w:right w:val="single" w:color="auto" w:sz="8" w:space="0"/>
            </w:tcBorders>
            <w:shd w:val="clear" w:color="auto" w:fill="FFFFFF"/>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i w:val="0"/>
                <w:iCs w:val="0"/>
                <w:caps w:val="0"/>
                <w:color w:val="3F4B5C"/>
                <w:spacing w:val="0"/>
                <w:kern w:val="0"/>
                <w:sz w:val="14"/>
                <w:szCs w:val="14"/>
                <w:lang w:val="en-US" w:eastAsia="zh-CN" w:bidi="ar"/>
              </w:rPr>
              <w:t>《推动企业上云实施指南（2018-2020年）》</w:t>
            </w:r>
          </w:p>
        </w:tc>
        <w:tc>
          <w:tcPr>
            <w:tcW w:w="900" w:type="pct"/>
            <w:tcBorders>
              <w:top w:val="nil"/>
              <w:left w:val="nil"/>
              <w:bottom w:val="single" w:color="auto" w:sz="8" w:space="0"/>
              <w:right w:val="single" w:color="auto" w:sz="8" w:space="0"/>
            </w:tcBorders>
            <w:shd w:val="clear" w:color="auto" w:fill="FFFFFF"/>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i w:val="0"/>
                <w:iCs w:val="0"/>
                <w:caps w:val="0"/>
                <w:color w:val="3F4B5C"/>
                <w:spacing w:val="0"/>
                <w:kern w:val="0"/>
                <w:sz w:val="14"/>
                <w:szCs w:val="14"/>
                <w:lang w:val="en-US" w:eastAsia="zh-CN" w:bidi="ar"/>
              </w:rPr>
              <w:t>工信部</w:t>
            </w:r>
          </w:p>
        </w:tc>
        <w:tc>
          <w:tcPr>
            <w:tcW w:w="1800" w:type="pct"/>
            <w:tcBorders>
              <w:top w:val="nil"/>
              <w:left w:val="nil"/>
              <w:bottom w:val="single" w:color="auto" w:sz="8" w:space="0"/>
              <w:right w:val="single" w:color="auto" w:sz="8" w:space="0"/>
            </w:tcBorders>
            <w:shd w:val="clear" w:color="auto" w:fill="FFFFFF"/>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i w:val="0"/>
                <w:iCs w:val="0"/>
                <w:caps w:val="0"/>
                <w:color w:val="3F4B5C"/>
                <w:spacing w:val="0"/>
                <w:kern w:val="0"/>
                <w:sz w:val="14"/>
                <w:szCs w:val="14"/>
                <w:lang w:val="en-US" w:eastAsia="zh-CN" w:bidi="ar"/>
              </w:rPr>
              <w:t>鼓励各地加快推动开展云上创新创业，支持各类企业和创业者以云计算平台为基础，利用大数据、物联网、人工智能、区块链等新技术，积极培育平台经济、分享经济等新业态、新模式</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567" w:hRule="atLeast"/>
        </w:trPr>
        <w:tc>
          <w:tcPr>
            <w:tcW w:w="900" w:type="pct"/>
            <w:tcBorders>
              <w:top w:val="nil"/>
              <w:left w:val="single" w:color="auto" w:sz="8" w:space="0"/>
              <w:bottom w:val="single" w:color="auto" w:sz="8" w:space="0"/>
              <w:right w:val="single" w:color="auto" w:sz="8" w:space="0"/>
            </w:tcBorders>
            <w:shd w:val="clear" w:color="auto" w:fill="FFFFFF"/>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i w:val="0"/>
                <w:iCs w:val="0"/>
                <w:caps w:val="0"/>
                <w:color w:val="3F4B5C"/>
                <w:spacing w:val="0"/>
                <w:kern w:val="0"/>
                <w:sz w:val="14"/>
                <w:szCs w:val="14"/>
                <w:lang w:val="en-US" w:eastAsia="zh-CN" w:bidi="ar"/>
              </w:rPr>
              <w:t>2018.01</w:t>
            </w:r>
          </w:p>
        </w:tc>
        <w:tc>
          <w:tcPr>
            <w:tcW w:w="1250" w:type="pct"/>
            <w:tcBorders>
              <w:top w:val="nil"/>
              <w:left w:val="nil"/>
              <w:bottom w:val="single" w:color="auto" w:sz="8" w:space="0"/>
              <w:right w:val="single" w:color="auto" w:sz="8" w:space="0"/>
            </w:tcBorders>
            <w:shd w:val="clear" w:color="auto" w:fill="FFFFFF"/>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i w:val="0"/>
                <w:iCs w:val="0"/>
                <w:caps w:val="0"/>
                <w:color w:val="3F4B5C"/>
                <w:spacing w:val="0"/>
                <w:kern w:val="0"/>
                <w:sz w:val="14"/>
                <w:szCs w:val="14"/>
                <w:lang w:val="en-US" w:eastAsia="zh-CN" w:bidi="ar"/>
              </w:rPr>
              <w:t>《国务院关于加强质量认证体系建设促进全面质量管理的意见》</w:t>
            </w:r>
          </w:p>
        </w:tc>
        <w:tc>
          <w:tcPr>
            <w:tcW w:w="900" w:type="pct"/>
            <w:tcBorders>
              <w:top w:val="nil"/>
              <w:left w:val="nil"/>
              <w:bottom w:val="single" w:color="auto" w:sz="8" w:space="0"/>
              <w:right w:val="single" w:color="auto" w:sz="8" w:space="0"/>
            </w:tcBorders>
            <w:shd w:val="clear" w:color="auto" w:fill="FFFFFF"/>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i w:val="0"/>
                <w:iCs w:val="0"/>
                <w:caps w:val="0"/>
                <w:color w:val="3F4B5C"/>
                <w:spacing w:val="0"/>
                <w:kern w:val="0"/>
                <w:sz w:val="14"/>
                <w:szCs w:val="14"/>
                <w:lang w:val="en-US" w:eastAsia="zh-CN" w:bidi="ar"/>
              </w:rPr>
              <w:t>国务院</w:t>
            </w:r>
          </w:p>
        </w:tc>
        <w:tc>
          <w:tcPr>
            <w:tcW w:w="1800" w:type="pct"/>
            <w:tcBorders>
              <w:top w:val="nil"/>
              <w:left w:val="nil"/>
              <w:bottom w:val="single" w:color="auto" w:sz="8" w:space="0"/>
              <w:right w:val="single" w:color="auto" w:sz="8" w:space="0"/>
            </w:tcBorders>
            <w:shd w:val="clear" w:color="auto" w:fill="FFFFFF"/>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i w:val="0"/>
                <w:iCs w:val="0"/>
                <w:caps w:val="0"/>
                <w:color w:val="3F4B5C"/>
                <w:spacing w:val="0"/>
                <w:kern w:val="0"/>
                <w:sz w:val="14"/>
                <w:szCs w:val="14"/>
                <w:lang w:val="en-US" w:eastAsia="zh-CN" w:bidi="ar"/>
              </w:rPr>
              <w:t>提出要打破部门垄断和行业壁垒，鼓励和支持社会力量开展检验检测认证业务，加大政府购买服务力度，营造各类主体公平竞争的市场环境。制定促进检验检测认证服务业发展的产业政策，对符合条件的检验检测认证机构给予高新技术企业认定。鼓励组建产学研用一体化的检验检测认证联盟，推动检验检测认证与产业经济深度融合</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567" w:hRule="atLeast"/>
        </w:trPr>
        <w:tc>
          <w:tcPr>
            <w:tcW w:w="900" w:type="pct"/>
            <w:tcBorders>
              <w:top w:val="nil"/>
              <w:left w:val="single" w:color="auto" w:sz="8" w:space="0"/>
              <w:bottom w:val="single" w:color="auto" w:sz="8" w:space="0"/>
              <w:right w:val="single" w:color="auto" w:sz="8" w:space="0"/>
            </w:tcBorders>
            <w:shd w:val="clear" w:color="auto" w:fill="FFFFFF"/>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i w:val="0"/>
                <w:iCs w:val="0"/>
                <w:caps w:val="0"/>
                <w:color w:val="3F4B5C"/>
                <w:spacing w:val="0"/>
                <w:kern w:val="0"/>
                <w:sz w:val="14"/>
                <w:szCs w:val="14"/>
                <w:lang w:val="en-US" w:eastAsia="zh-CN" w:bidi="ar"/>
              </w:rPr>
              <w:t>2017.08</w:t>
            </w:r>
          </w:p>
        </w:tc>
        <w:tc>
          <w:tcPr>
            <w:tcW w:w="1250" w:type="pct"/>
            <w:tcBorders>
              <w:top w:val="nil"/>
              <w:left w:val="nil"/>
              <w:bottom w:val="single" w:color="auto" w:sz="8" w:space="0"/>
              <w:right w:val="single" w:color="auto" w:sz="8" w:space="0"/>
            </w:tcBorders>
            <w:shd w:val="clear" w:color="auto" w:fill="FFFFFF"/>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i w:val="0"/>
                <w:iCs w:val="0"/>
                <w:caps w:val="0"/>
                <w:color w:val="3F4B5C"/>
                <w:spacing w:val="0"/>
                <w:kern w:val="0"/>
                <w:sz w:val="14"/>
                <w:szCs w:val="14"/>
                <w:lang w:val="en-US" w:eastAsia="zh-CN" w:bidi="ar"/>
              </w:rPr>
              <w:t>《认证认可检验检测信息化“十三五”建设任务与行动计划》</w:t>
            </w:r>
          </w:p>
        </w:tc>
        <w:tc>
          <w:tcPr>
            <w:tcW w:w="900" w:type="pct"/>
            <w:tcBorders>
              <w:top w:val="nil"/>
              <w:left w:val="nil"/>
              <w:bottom w:val="single" w:color="auto" w:sz="8" w:space="0"/>
              <w:right w:val="single" w:color="auto" w:sz="8" w:space="0"/>
            </w:tcBorders>
            <w:shd w:val="clear" w:color="auto" w:fill="FFFFFF"/>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i w:val="0"/>
                <w:iCs w:val="0"/>
                <w:caps w:val="0"/>
                <w:color w:val="3F4B5C"/>
                <w:spacing w:val="0"/>
                <w:kern w:val="0"/>
                <w:sz w:val="14"/>
                <w:szCs w:val="14"/>
                <w:lang w:val="en-US" w:eastAsia="zh-CN" w:bidi="ar"/>
              </w:rPr>
              <w:t>国家认监委</w:t>
            </w:r>
          </w:p>
        </w:tc>
        <w:tc>
          <w:tcPr>
            <w:tcW w:w="1800" w:type="pct"/>
            <w:tcBorders>
              <w:top w:val="nil"/>
              <w:left w:val="nil"/>
              <w:bottom w:val="single" w:color="auto" w:sz="8" w:space="0"/>
              <w:right w:val="single" w:color="auto" w:sz="8" w:space="0"/>
            </w:tcBorders>
            <w:shd w:val="clear" w:color="auto" w:fill="FFFFFF"/>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i w:val="0"/>
                <w:iCs w:val="0"/>
                <w:caps w:val="0"/>
                <w:color w:val="3F4B5C"/>
                <w:spacing w:val="0"/>
                <w:kern w:val="0"/>
                <w:sz w:val="14"/>
                <w:szCs w:val="14"/>
                <w:lang w:val="en-US" w:eastAsia="zh-CN" w:bidi="ar"/>
              </w:rPr>
              <w:t>提出至2020年，认证认可检验检测行业信息化水平显著提升，信息化在促进行业规范化发展、提升服务能力方面发挥基础性支撑作用；基本形成统完整的认证认可检验检测行业信息化标准规范体系；建成认证认可检验检测行业大数据中心，实现认监委与质检总局和有关部委、地方认证监管部门、从业机构及社会相关单位间的信息数据互联互通；初步建成云计算中心，提升认证认可信息化主干项目基础设施集约化支撑能力；优化健全信息安全保障机制；建设与认证认可信息化发展相适应的人才队伍</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567" w:hRule="atLeast"/>
        </w:trPr>
        <w:tc>
          <w:tcPr>
            <w:tcW w:w="900" w:type="pct"/>
            <w:tcBorders>
              <w:top w:val="nil"/>
              <w:left w:val="single" w:color="auto" w:sz="8" w:space="0"/>
              <w:bottom w:val="single" w:color="auto" w:sz="8" w:space="0"/>
              <w:right w:val="single" w:color="auto" w:sz="8" w:space="0"/>
            </w:tcBorders>
            <w:shd w:val="clear" w:color="auto" w:fill="FFFFFF"/>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i w:val="0"/>
                <w:iCs w:val="0"/>
                <w:caps w:val="0"/>
                <w:color w:val="3F4B5C"/>
                <w:spacing w:val="0"/>
                <w:kern w:val="0"/>
                <w:sz w:val="14"/>
                <w:szCs w:val="14"/>
                <w:lang w:val="en-US" w:eastAsia="zh-CN" w:bidi="ar"/>
              </w:rPr>
              <w:t>2017.04</w:t>
            </w:r>
          </w:p>
        </w:tc>
        <w:tc>
          <w:tcPr>
            <w:tcW w:w="1250" w:type="pct"/>
            <w:tcBorders>
              <w:top w:val="nil"/>
              <w:left w:val="nil"/>
              <w:bottom w:val="single" w:color="auto" w:sz="8" w:space="0"/>
              <w:right w:val="single" w:color="auto" w:sz="8" w:space="0"/>
            </w:tcBorders>
            <w:shd w:val="clear" w:color="auto" w:fill="FFFFFF"/>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i w:val="0"/>
                <w:iCs w:val="0"/>
                <w:caps w:val="0"/>
                <w:color w:val="3F4B5C"/>
                <w:spacing w:val="0"/>
                <w:kern w:val="0"/>
                <w:sz w:val="14"/>
                <w:szCs w:val="14"/>
                <w:lang w:val="en-US" w:eastAsia="zh-CN" w:bidi="ar"/>
              </w:rPr>
              <w:t>《云计算发展三年行动计划（2017-2019年）》</w:t>
            </w:r>
          </w:p>
        </w:tc>
        <w:tc>
          <w:tcPr>
            <w:tcW w:w="900" w:type="pct"/>
            <w:tcBorders>
              <w:top w:val="nil"/>
              <w:left w:val="nil"/>
              <w:bottom w:val="single" w:color="auto" w:sz="8" w:space="0"/>
              <w:right w:val="single" w:color="auto" w:sz="8" w:space="0"/>
            </w:tcBorders>
            <w:shd w:val="clear" w:color="auto" w:fill="FFFFFF"/>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i w:val="0"/>
                <w:iCs w:val="0"/>
                <w:caps w:val="0"/>
                <w:color w:val="3F4B5C"/>
                <w:spacing w:val="0"/>
                <w:kern w:val="0"/>
                <w:sz w:val="14"/>
                <w:szCs w:val="14"/>
                <w:lang w:val="en-US" w:eastAsia="zh-CN" w:bidi="ar"/>
              </w:rPr>
              <w:t>工信部</w:t>
            </w:r>
          </w:p>
        </w:tc>
        <w:tc>
          <w:tcPr>
            <w:tcW w:w="1800" w:type="pct"/>
            <w:tcBorders>
              <w:top w:val="nil"/>
              <w:left w:val="nil"/>
              <w:bottom w:val="single" w:color="auto" w:sz="8" w:space="0"/>
              <w:right w:val="single" w:color="auto" w:sz="8" w:space="0"/>
            </w:tcBorders>
            <w:shd w:val="clear" w:color="auto" w:fill="FFFFFF"/>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i w:val="0"/>
                <w:iCs w:val="0"/>
                <w:caps w:val="0"/>
                <w:color w:val="3F4B5C"/>
                <w:spacing w:val="0"/>
                <w:kern w:val="0"/>
                <w:sz w:val="14"/>
                <w:szCs w:val="14"/>
                <w:lang w:val="en-US" w:eastAsia="zh-CN" w:bidi="ar"/>
              </w:rPr>
              <w:t>结合现有基础以及面临的问题和挑战，《行动计划》从提升技术水平、增强产业能力、推动行业应用、保障网络安全、营造产业环境等多个方面，推动云计算健康快速发展</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567" w:hRule="atLeast"/>
        </w:trPr>
        <w:tc>
          <w:tcPr>
            <w:tcW w:w="900" w:type="pct"/>
            <w:tcBorders>
              <w:top w:val="nil"/>
              <w:left w:val="single" w:color="auto" w:sz="8" w:space="0"/>
              <w:bottom w:val="single" w:color="auto" w:sz="8" w:space="0"/>
              <w:right w:val="single" w:color="auto" w:sz="8" w:space="0"/>
            </w:tcBorders>
            <w:shd w:val="clear" w:color="auto" w:fill="FFFFFF"/>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i w:val="0"/>
                <w:iCs w:val="0"/>
                <w:caps w:val="0"/>
                <w:color w:val="3F4B5C"/>
                <w:spacing w:val="0"/>
                <w:kern w:val="0"/>
                <w:sz w:val="14"/>
                <w:szCs w:val="14"/>
                <w:lang w:val="en-US" w:eastAsia="zh-CN" w:bidi="ar"/>
              </w:rPr>
              <w:t>2017.02</w:t>
            </w:r>
          </w:p>
        </w:tc>
        <w:tc>
          <w:tcPr>
            <w:tcW w:w="1250" w:type="pct"/>
            <w:tcBorders>
              <w:top w:val="nil"/>
              <w:left w:val="nil"/>
              <w:bottom w:val="single" w:color="auto" w:sz="8" w:space="0"/>
              <w:right w:val="single" w:color="auto" w:sz="8" w:space="0"/>
            </w:tcBorders>
            <w:shd w:val="clear" w:color="auto" w:fill="FFFFFF"/>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i w:val="0"/>
                <w:iCs w:val="0"/>
                <w:caps w:val="0"/>
                <w:color w:val="3F4B5C"/>
                <w:spacing w:val="0"/>
                <w:kern w:val="0"/>
                <w:sz w:val="14"/>
                <w:szCs w:val="14"/>
                <w:lang w:val="en-US" w:eastAsia="zh-CN" w:bidi="ar"/>
              </w:rPr>
              <w:t>《战略性新兴产业重点产品和服务指导目录（2016版）》</w:t>
            </w:r>
          </w:p>
        </w:tc>
        <w:tc>
          <w:tcPr>
            <w:tcW w:w="900" w:type="pct"/>
            <w:tcBorders>
              <w:top w:val="nil"/>
              <w:left w:val="nil"/>
              <w:bottom w:val="single" w:color="auto" w:sz="8" w:space="0"/>
              <w:right w:val="single" w:color="auto" w:sz="8" w:space="0"/>
            </w:tcBorders>
            <w:shd w:val="clear" w:color="auto" w:fill="FFFFFF"/>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i w:val="0"/>
                <w:iCs w:val="0"/>
                <w:caps w:val="0"/>
                <w:color w:val="3F4B5C"/>
                <w:spacing w:val="0"/>
                <w:kern w:val="0"/>
                <w:sz w:val="14"/>
                <w:szCs w:val="14"/>
                <w:lang w:val="en-US" w:eastAsia="zh-CN" w:bidi="ar"/>
              </w:rPr>
              <w:t>发改委</w:t>
            </w:r>
          </w:p>
        </w:tc>
        <w:tc>
          <w:tcPr>
            <w:tcW w:w="1800" w:type="pct"/>
            <w:tcBorders>
              <w:top w:val="nil"/>
              <w:left w:val="nil"/>
              <w:bottom w:val="single" w:color="auto" w:sz="8" w:space="0"/>
              <w:right w:val="single" w:color="auto" w:sz="8" w:space="0"/>
            </w:tcBorders>
            <w:shd w:val="clear" w:color="auto" w:fill="FFFFFF"/>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i w:val="0"/>
                <w:iCs w:val="0"/>
                <w:caps w:val="0"/>
                <w:color w:val="3F4B5C"/>
                <w:spacing w:val="0"/>
                <w:kern w:val="0"/>
                <w:sz w:val="14"/>
                <w:szCs w:val="14"/>
                <w:lang w:val="en-US" w:eastAsia="zh-CN" w:bidi="ar"/>
              </w:rPr>
              <w:t>将新兴软件及服务列入战略性新兴产业，涉及与发行人相关的云计算软件及服务、数据处理和存储服务、工业软件、信息技术咨询服务等细分领域</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567" w:hRule="atLeast"/>
        </w:trPr>
        <w:tc>
          <w:tcPr>
            <w:tcW w:w="900" w:type="pct"/>
            <w:tcBorders>
              <w:top w:val="nil"/>
              <w:left w:val="single" w:color="auto" w:sz="8" w:space="0"/>
              <w:bottom w:val="single" w:color="auto" w:sz="8" w:space="0"/>
              <w:right w:val="single" w:color="auto" w:sz="8" w:space="0"/>
            </w:tcBorders>
            <w:shd w:val="clear" w:color="auto" w:fill="FFFFFF"/>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i w:val="0"/>
                <w:iCs w:val="0"/>
                <w:caps w:val="0"/>
                <w:color w:val="3F4B5C"/>
                <w:spacing w:val="0"/>
                <w:kern w:val="0"/>
                <w:sz w:val="14"/>
                <w:szCs w:val="14"/>
                <w:lang w:val="en-US" w:eastAsia="zh-CN" w:bidi="ar"/>
              </w:rPr>
              <w:t>2017.01</w:t>
            </w:r>
          </w:p>
        </w:tc>
        <w:tc>
          <w:tcPr>
            <w:tcW w:w="1250" w:type="pct"/>
            <w:tcBorders>
              <w:top w:val="nil"/>
              <w:left w:val="nil"/>
              <w:bottom w:val="single" w:color="auto" w:sz="8" w:space="0"/>
              <w:right w:val="single" w:color="auto" w:sz="8" w:space="0"/>
            </w:tcBorders>
            <w:shd w:val="clear" w:color="auto" w:fill="FFFFFF"/>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i w:val="0"/>
                <w:iCs w:val="0"/>
                <w:caps w:val="0"/>
                <w:color w:val="3F4B5C"/>
                <w:spacing w:val="0"/>
                <w:kern w:val="0"/>
                <w:sz w:val="14"/>
                <w:szCs w:val="14"/>
                <w:lang w:val="en-US" w:eastAsia="zh-CN" w:bidi="ar"/>
              </w:rPr>
              <w:t>《“互联网+政务服务”技术体系建设指南》</w:t>
            </w:r>
          </w:p>
        </w:tc>
        <w:tc>
          <w:tcPr>
            <w:tcW w:w="900" w:type="pct"/>
            <w:tcBorders>
              <w:top w:val="nil"/>
              <w:left w:val="nil"/>
              <w:bottom w:val="single" w:color="auto" w:sz="8" w:space="0"/>
              <w:right w:val="single" w:color="auto" w:sz="8" w:space="0"/>
            </w:tcBorders>
            <w:shd w:val="clear" w:color="auto" w:fill="FFFFFF"/>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i w:val="0"/>
                <w:iCs w:val="0"/>
                <w:caps w:val="0"/>
                <w:color w:val="3F4B5C"/>
                <w:spacing w:val="0"/>
                <w:kern w:val="0"/>
                <w:sz w:val="14"/>
                <w:szCs w:val="14"/>
                <w:lang w:val="en-US" w:eastAsia="zh-CN" w:bidi="ar"/>
              </w:rPr>
              <w:t>国务院</w:t>
            </w:r>
          </w:p>
        </w:tc>
        <w:tc>
          <w:tcPr>
            <w:tcW w:w="1800" w:type="pct"/>
            <w:tcBorders>
              <w:top w:val="nil"/>
              <w:left w:val="nil"/>
              <w:bottom w:val="single" w:color="auto" w:sz="8" w:space="0"/>
              <w:right w:val="single" w:color="auto" w:sz="8" w:space="0"/>
            </w:tcBorders>
            <w:shd w:val="clear" w:color="auto" w:fill="FFFFFF"/>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i w:val="0"/>
                <w:iCs w:val="0"/>
                <w:caps w:val="0"/>
                <w:color w:val="3F4B5C"/>
                <w:spacing w:val="0"/>
                <w:kern w:val="0"/>
                <w:sz w:val="14"/>
                <w:szCs w:val="14"/>
                <w:lang w:val="en-US" w:eastAsia="zh-CN" w:bidi="ar"/>
              </w:rPr>
              <w:t>通过加强顶层设计,对各地区各部门网上政务服务平台建设进行规范,优化政务服务流程,推动构建统一、规范、多级联动的全国一体化“互联网+政务服务”技术和服务体系</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567" w:hRule="atLeast"/>
        </w:trPr>
        <w:tc>
          <w:tcPr>
            <w:tcW w:w="900" w:type="pct"/>
            <w:tcBorders>
              <w:top w:val="nil"/>
              <w:left w:val="single" w:color="auto" w:sz="8" w:space="0"/>
              <w:bottom w:val="single" w:color="auto" w:sz="8" w:space="0"/>
              <w:right w:val="single" w:color="auto" w:sz="8" w:space="0"/>
            </w:tcBorders>
            <w:shd w:val="clear" w:color="auto" w:fill="FFFFFF"/>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i w:val="0"/>
                <w:iCs w:val="0"/>
                <w:caps w:val="0"/>
                <w:color w:val="3F4B5C"/>
                <w:spacing w:val="0"/>
                <w:kern w:val="0"/>
                <w:sz w:val="14"/>
                <w:szCs w:val="14"/>
                <w:lang w:val="en-US" w:eastAsia="zh-CN" w:bidi="ar"/>
              </w:rPr>
              <w:t>2016.12</w:t>
            </w:r>
          </w:p>
        </w:tc>
        <w:tc>
          <w:tcPr>
            <w:tcW w:w="1250" w:type="pct"/>
            <w:tcBorders>
              <w:top w:val="nil"/>
              <w:left w:val="nil"/>
              <w:bottom w:val="single" w:color="auto" w:sz="8" w:space="0"/>
              <w:right w:val="single" w:color="auto" w:sz="8" w:space="0"/>
            </w:tcBorders>
            <w:shd w:val="clear" w:color="auto" w:fill="FFFFFF"/>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i w:val="0"/>
                <w:iCs w:val="0"/>
                <w:caps w:val="0"/>
                <w:color w:val="3F4B5C"/>
                <w:spacing w:val="0"/>
                <w:kern w:val="0"/>
                <w:sz w:val="14"/>
                <w:szCs w:val="14"/>
                <w:lang w:val="en-US" w:eastAsia="zh-CN" w:bidi="ar"/>
              </w:rPr>
              <w:t>《“十三五”国家战略性新兴产业发展规划》</w:t>
            </w:r>
          </w:p>
        </w:tc>
        <w:tc>
          <w:tcPr>
            <w:tcW w:w="900" w:type="pct"/>
            <w:tcBorders>
              <w:top w:val="nil"/>
              <w:left w:val="nil"/>
              <w:bottom w:val="single" w:color="auto" w:sz="8" w:space="0"/>
              <w:right w:val="single" w:color="auto" w:sz="8" w:space="0"/>
            </w:tcBorders>
            <w:shd w:val="clear" w:color="auto" w:fill="FFFFFF"/>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i w:val="0"/>
                <w:iCs w:val="0"/>
                <w:caps w:val="0"/>
                <w:color w:val="3F4B5C"/>
                <w:spacing w:val="0"/>
                <w:kern w:val="0"/>
                <w:sz w:val="14"/>
                <w:szCs w:val="14"/>
                <w:lang w:val="en-US" w:eastAsia="zh-CN" w:bidi="ar"/>
              </w:rPr>
              <w:t>国务院</w:t>
            </w:r>
          </w:p>
        </w:tc>
        <w:tc>
          <w:tcPr>
            <w:tcW w:w="1800" w:type="pct"/>
            <w:tcBorders>
              <w:top w:val="nil"/>
              <w:left w:val="nil"/>
              <w:bottom w:val="single" w:color="auto" w:sz="8" w:space="0"/>
              <w:right w:val="single" w:color="auto" w:sz="8" w:space="0"/>
            </w:tcBorders>
            <w:shd w:val="clear" w:color="auto" w:fill="FFFFFF"/>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i w:val="0"/>
                <w:iCs w:val="0"/>
                <w:caps w:val="0"/>
                <w:color w:val="3F4B5C"/>
                <w:spacing w:val="0"/>
                <w:kern w:val="0"/>
                <w:sz w:val="14"/>
                <w:szCs w:val="14"/>
                <w:lang w:val="en-US" w:eastAsia="zh-CN" w:bidi="ar"/>
              </w:rPr>
              <w:t>提出要发展大数据在工业、农业农村、创业创新、促进就业等领域的应用，促进数据服务业创新，推动数据探矿、数据化学、数据材料、数据制药等新业态、新模式发展。加强海量数据存储、数据清洗、数据分析挖掘、数据可视化等关键技术研发，形成一批具有国际竞争力的大数据处理、分析和可视化软硬件产品，培育大数据相关产业，完善产业链，促进相关产业集聚发展。将加强相关计量测试、检验检测、认证认可、知识和数据中心等公共服务平台建设列为重点任务之一</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567" w:hRule="atLeast"/>
        </w:trPr>
        <w:tc>
          <w:tcPr>
            <w:tcW w:w="900" w:type="pct"/>
            <w:tcBorders>
              <w:top w:val="nil"/>
              <w:left w:val="single" w:color="auto" w:sz="8" w:space="0"/>
              <w:bottom w:val="single" w:color="auto" w:sz="8" w:space="0"/>
              <w:right w:val="single" w:color="auto" w:sz="8" w:space="0"/>
            </w:tcBorders>
            <w:shd w:val="clear" w:color="auto" w:fill="FFFFFF"/>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i w:val="0"/>
                <w:iCs w:val="0"/>
                <w:caps w:val="0"/>
                <w:color w:val="3F4B5C"/>
                <w:spacing w:val="0"/>
                <w:kern w:val="0"/>
                <w:sz w:val="14"/>
                <w:szCs w:val="14"/>
                <w:lang w:val="en-US" w:eastAsia="zh-CN" w:bidi="ar"/>
              </w:rPr>
              <w:t>2016.1</w:t>
            </w:r>
          </w:p>
        </w:tc>
        <w:tc>
          <w:tcPr>
            <w:tcW w:w="1250" w:type="pct"/>
            <w:tcBorders>
              <w:top w:val="nil"/>
              <w:left w:val="nil"/>
              <w:bottom w:val="single" w:color="auto" w:sz="8" w:space="0"/>
              <w:right w:val="single" w:color="auto" w:sz="8" w:space="0"/>
            </w:tcBorders>
            <w:shd w:val="clear" w:color="auto" w:fill="FFFFFF"/>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i w:val="0"/>
                <w:iCs w:val="0"/>
                <w:caps w:val="0"/>
                <w:color w:val="3F4B5C"/>
                <w:spacing w:val="0"/>
                <w:kern w:val="0"/>
                <w:sz w:val="14"/>
                <w:szCs w:val="14"/>
                <w:lang w:val="en-US" w:eastAsia="zh-CN" w:bidi="ar"/>
              </w:rPr>
              <w:t>《大数据产业发展规划（2016-2020年）》</w:t>
            </w:r>
          </w:p>
        </w:tc>
        <w:tc>
          <w:tcPr>
            <w:tcW w:w="900" w:type="pct"/>
            <w:tcBorders>
              <w:top w:val="nil"/>
              <w:left w:val="nil"/>
              <w:bottom w:val="single" w:color="auto" w:sz="8" w:space="0"/>
              <w:right w:val="single" w:color="auto" w:sz="8" w:space="0"/>
            </w:tcBorders>
            <w:shd w:val="clear" w:color="auto" w:fill="FFFFFF"/>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i w:val="0"/>
                <w:iCs w:val="0"/>
                <w:caps w:val="0"/>
                <w:color w:val="3F4B5C"/>
                <w:spacing w:val="0"/>
                <w:kern w:val="0"/>
                <w:sz w:val="14"/>
                <w:szCs w:val="14"/>
                <w:lang w:val="en-US" w:eastAsia="zh-CN" w:bidi="ar"/>
              </w:rPr>
              <w:t>工信部</w:t>
            </w:r>
          </w:p>
        </w:tc>
        <w:tc>
          <w:tcPr>
            <w:tcW w:w="1800" w:type="pct"/>
            <w:tcBorders>
              <w:top w:val="nil"/>
              <w:left w:val="nil"/>
              <w:bottom w:val="single" w:color="auto" w:sz="8" w:space="0"/>
              <w:right w:val="single" w:color="auto" w:sz="8" w:space="0"/>
            </w:tcBorders>
            <w:shd w:val="clear" w:color="auto" w:fill="FFFFFF"/>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i w:val="0"/>
                <w:iCs w:val="0"/>
                <w:caps w:val="0"/>
                <w:color w:val="3F4B5C"/>
                <w:spacing w:val="0"/>
                <w:kern w:val="0"/>
                <w:sz w:val="14"/>
                <w:szCs w:val="14"/>
                <w:lang w:val="en-US" w:eastAsia="zh-CN" w:bidi="ar"/>
              </w:rPr>
              <w:t>提出到2020年，技术先进、应用繁荣、保障有力的数据产业体系基本形成，数据相关产品和服务业务收入突破1万亿元，年均复合增长率保持30%左右</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567" w:hRule="atLeast"/>
        </w:trPr>
        <w:tc>
          <w:tcPr>
            <w:tcW w:w="900" w:type="pct"/>
            <w:tcBorders>
              <w:top w:val="nil"/>
              <w:left w:val="single" w:color="auto" w:sz="8" w:space="0"/>
              <w:bottom w:val="single" w:color="auto" w:sz="8" w:space="0"/>
              <w:right w:val="single" w:color="auto" w:sz="8" w:space="0"/>
            </w:tcBorders>
            <w:shd w:val="clear" w:color="auto" w:fill="FFFFFF"/>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i w:val="0"/>
                <w:iCs w:val="0"/>
                <w:caps w:val="0"/>
                <w:color w:val="3F4B5C"/>
                <w:spacing w:val="0"/>
                <w:kern w:val="0"/>
                <w:sz w:val="14"/>
                <w:szCs w:val="14"/>
                <w:lang w:val="en-US" w:eastAsia="zh-CN" w:bidi="ar"/>
              </w:rPr>
              <w:t>2015.12</w:t>
            </w:r>
          </w:p>
        </w:tc>
        <w:tc>
          <w:tcPr>
            <w:tcW w:w="1250" w:type="pct"/>
            <w:tcBorders>
              <w:top w:val="nil"/>
              <w:left w:val="nil"/>
              <w:bottom w:val="single" w:color="auto" w:sz="8" w:space="0"/>
              <w:right w:val="single" w:color="auto" w:sz="8" w:space="0"/>
            </w:tcBorders>
            <w:shd w:val="clear" w:color="auto" w:fill="FFFFFF"/>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i w:val="0"/>
                <w:iCs w:val="0"/>
                <w:caps w:val="0"/>
                <w:color w:val="3F4B5C"/>
                <w:spacing w:val="0"/>
                <w:kern w:val="0"/>
                <w:sz w:val="14"/>
                <w:szCs w:val="14"/>
                <w:lang w:val="en-US" w:eastAsia="zh-CN" w:bidi="ar"/>
              </w:rPr>
              <w:t>《国家标准化体系建设发展规划（2016-2020年）》</w:t>
            </w:r>
          </w:p>
        </w:tc>
        <w:tc>
          <w:tcPr>
            <w:tcW w:w="900" w:type="pct"/>
            <w:tcBorders>
              <w:top w:val="nil"/>
              <w:left w:val="nil"/>
              <w:bottom w:val="single" w:color="auto" w:sz="8" w:space="0"/>
              <w:right w:val="single" w:color="auto" w:sz="8" w:space="0"/>
            </w:tcBorders>
            <w:shd w:val="clear" w:color="auto" w:fill="FFFFFF"/>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i w:val="0"/>
                <w:iCs w:val="0"/>
                <w:caps w:val="0"/>
                <w:color w:val="3F4B5C"/>
                <w:spacing w:val="0"/>
                <w:kern w:val="0"/>
                <w:sz w:val="14"/>
                <w:szCs w:val="14"/>
                <w:lang w:val="en-US" w:eastAsia="zh-CN" w:bidi="ar"/>
              </w:rPr>
              <w:t>国务院</w:t>
            </w:r>
          </w:p>
        </w:tc>
        <w:tc>
          <w:tcPr>
            <w:tcW w:w="1800" w:type="pct"/>
            <w:tcBorders>
              <w:top w:val="nil"/>
              <w:left w:val="nil"/>
              <w:bottom w:val="single" w:color="auto" w:sz="8" w:space="0"/>
              <w:right w:val="single" w:color="auto" w:sz="8" w:space="0"/>
            </w:tcBorders>
            <w:shd w:val="clear" w:color="auto" w:fill="FFFFFF"/>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i w:val="0"/>
                <w:iCs w:val="0"/>
                <w:caps w:val="0"/>
                <w:color w:val="3F4B5C"/>
                <w:spacing w:val="0"/>
                <w:kern w:val="0"/>
                <w:sz w:val="14"/>
                <w:szCs w:val="14"/>
                <w:lang w:val="en-US" w:eastAsia="zh-CN" w:bidi="ar"/>
              </w:rPr>
              <w:t>新一代信息技术标准化工程、智能制造和装备升级标准化工程已被列为主要任务，其中涉及物联网、云计算、大数据、工业云等相关行业标准的制定</w:t>
            </w:r>
          </w:p>
        </w:tc>
      </w:tr>
    </w:tbl>
    <w:p>
      <w:pPr>
        <w:numPr>
          <w:numId w:val="0"/>
        </w:numPr>
        <w:ind w:left="420" w:leftChars="0"/>
        <w:jc w:val="both"/>
        <w:rPr>
          <w:rFonts w:hint="default"/>
          <w:b/>
          <w:bCs/>
          <w:sz w:val="28"/>
          <w:szCs w:val="36"/>
          <w:lang w:val="en-US" w:eastAsia="zh-CN"/>
        </w:rPr>
      </w:pPr>
    </w:p>
    <w:p>
      <w:pPr>
        <w:numPr>
          <w:ilvl w:val="0"/>
          <w:numId w:val="4"/>
        </w:numPr>
        <w:ind w:left="0" w:leftChars="0" w:firstLine="420" w:firstLineChars="0"/>
        <w:jc w:val="both"/>
        <w:rPr>
          <w:rFonts w:hint="default"/>
          <w:b/>
          <w:bCs/>
          <w:sz w:val="28"/>
          <w:szCs w:val="36"/>
          <w:lang w:val="en-US" w:eastAsia="zh-CN"/>
        </w:rPr>
      </w:pPr>
      <w:r>
        <w:rPr>
          <w:rFonts w:hint="eastAsia"/>
          <w:b/>
          <w:bCs/>
          <w:sz w:val="28"/>
          <w:szCs w:val="36"/>
          <w:lang w:val="en-US" w:eastAsia="zh-CN"/>
        </w:rPr>
        <w:t>法律和法规</w:t>
      </w:r>
    </w:p>
    <w:p>
      <w:pPr>
        <w:numPr>
          <w:ilvl w:val="0"/>
          <w:numId w:val="0"/>
        </w:numPr>
        <w:ind w:leftChars="0"/>
        <w:jc w:val="both"/>
        <w:rPr>
          <w:rFonts w:hint="default"/>
          <w:sz w:val="24"/>
          <w:szCs w:val="32"/>
          <w:lang w:val="en-US" w:eastAsia="zh-CN"/>
        </w:rPr>
      </w:pPr>
      <w:r>
        <w:rPr>
          <w:rFonts w:hint="default"/>
          <w:sz w:val="24"/>
          <w:szCs w:val="32"/>
          <w:lang w:val="en-US" w:eastAsia="zh-CN"/>
        </w:rPr>
        <w:t>1、 中华人民共和国著作权法（2001年修正）</w:t>
      </w:r>
    </w:p>
    <w:p>
      <w:pPr>
        <w:numPr>
          <w:ilvl w:val="0"/>
          <w:numId w:val="0"/>
        </w:numPr>
        <w:ind w:leftChars="0"/>
        <w:jc w:val="both"/>
        <w:rPr>
          <w:rFonts w:hint="default"/>
          <w:sz w:val="24"/>
          <w:szCs w:val="32"/>
          <w:lang w:val="en-US" w:eastAsia="zh-CN"/>
        </w:rPr>
      </w:pPr>
      <w:r>
        <w:rPr>
          <w:rFonts w:hint="default"/>
          <w:sz w:val="24"/>
          <w:szCs w:val="32"/>
          <w:lang w:val="en-US" w:eastAsia="zh-CN"/>
        </w:rPr>
        <w:t>2、 中华人民共和国著作权法实施条例（2002）</w:t>
      </w:r>
    </w:p>
    <w:p>
      <w:pPr>
        <w:numPr>
          <w:ilvl w:val="0"/>
          <w:numId w:val="0"/>
        </w:numPr>
        <w:ind w:leftChars="0"/>
        <w:jc w:val="both"/>
        <w:rPr>
          <w:rFonts w:hint="default"/>
          <w:sz w:val="24"/>
          <w:szCs w:val="32"/>
          <w:lang w:val="en-US" w:eastAsia="zh-CN"/>
        </w:rPr>
      </w:pPr>
      <w:r>
        <w:rPr>
          <w:rFonts w:hint="default"/>
          <w:sz w:val="24"/>
          <w:szCs w:val="32"/>
          <w:lang w:val="en-US" w:eastAsia="zh-CN"/>
        </w:rPr>
        <w:t>3、 中华人民共和国计算机软件保护条例（2001）</w:t>
      </w:r>
    </w:p>
    <w:p>
      <w:pPr>
        <w:numPr>
          <w:ilvl w:val="0"/>
          <w:numId w:val="0"/>
        </w:numPr>
        <w:ind w:leftChars="0"/>
        <w:jc w:val="both"/>
        <w:rPr>
          <w:rFonts w:hint="default"/>
          <w:sz w:val="24"/>
          <w:szCs w:val="32"/>
          <w:lang w:val="en-US" w:eastAsia="zh-CN"/>
        </w:rPr>
      </w:pPr>
      <w:r>
        <w:rPr>
          <w:rFonts w:hint="default"/>
          <w:sz w:val="24"/>
          <w:szCs w:val="32"/>
          <w:lang w:val="en-US" w:eastAsia="zh-CN"/>
        </w:rPr>
        <w:t>4、 作品自愿登记试行办法（1994）</w:t>
      </w:r>
    </w:p>
    <w:p>
      <w:pPr>
        <w:numPr>
          <w:ilvl w:val="0"/>
          <w:numId w:val="0"/>
        </w:numPr>
        <w:ind w:leftChars="0"/>
        <w:jc w:val="both"/>
        <w:rPr>
          <w:rFonts w:hint="default"/>
          <w:sz w:val="24"/>
          <w:szCs w:val="32"/>
          <w:lang w:val="en-US" w:eastAsia="zh-CN"/>
        </w:rPr>
      </w:pPr>
      <w:r>
        <w:rPr>
          <w:rFonts w:hint="default"/>
          <w:sz w:val="24"/>
          <w:szCs w:val="32"/>
          <w:lang w:val="en-US" w:eastAsia="zh-CN"/>
        </w:rPr>
        <w:t>5、 计算机软件著作权登记办法（2002）</w:t>
      </w:r>
    </w:p>
    <w:p>
      <w:pPr>
        <w:numPr>
          <w:ilvl w:val="0"/>
          <w:numId w:val="0"/>
        </w:numPr>
        <w:ind w:leftChars="0"/>
        <w:jc w:val="both"/>
        <w:rPr>
          <w:rFonts w:hint="default"/>
          <w:sz w:val="24"/>
          <w:szCs w:val="32"/>
          <w:lang w:val="en-US" w:eastAsia="zh-CN"/>
        </w:rPr>
      </w:pPr>
      <w:r>
        <w:rPr>
          <w:rFonts w:hint="default"/>
          <w:sz w:val="24"/>
          <w:szCs w:val="32"/>
          <w:lang w:val="en-US" w:eastAsia="zh-CN"/>
        </w:rPr>
        <w:t>6、 计算机软件著作权登记收费项目和标准（1992）</w:t>
      </w:r>
    </w:p>
    <w:p>
      <w:pPr>
        <w:numPr>
          <w:ilvl w:val="0"/>
          <w:numId w:val="0"/>
        </w:numPr>
        <w:ind w:leftChars="0"/>
        <w:jc w:val="both"/>
        <w:rPr>
          <w:rFonts w:hint="default"/>
          <w:sz w:val="24"/>
          <w:szCs w:val="32"/>
          <w:lang w:val="en-US" w:eastAsia="zh-CN"/>
        </w:rPr>
      </w:pPr>
      <w:r>
        <w:rPr>
          <w:rFonts w:hint="default"/>
          <w:sz w:val="24"/>
          <w:szCs w:val="32"/>
          <w:lang w:val="en-US" w:eastAsia="zh-CN"/>
        </w:rPr>
        <w:t>7、 著作权质押合同登记办法（1996）</w:t>
      </w:r>
    </w:p>
    <w:p>
      <w:pPr>
        <w:numPr>
          <w:ilvl w:val="0"/>
          <w:numId w:val="0"/>
        </w:numPr>
        <w:ind w:leftChars="0"/>
        <w:jc w:val="both"/>
        <w:rPr>
          <w:rFonts w:hint="default"/>
          <w:sz w:val="24"/>
          <w:szCs w:val="32"/>
          <w:lang w:val="en-US" w:eastAsia="zh-CN"/>
        </w:rPr>
      </w:pPr>
      <w:r>
        <w:rPr>
          <w:rFonts w:hint="default"/>
          <w:sz w:val="24"/>
          <w:szCs w:val="32"/>
          <w:lang w:val="en-US" w:eastAsia="zh-CN"/>
        </w:rPr>
        <w:t>8、 国家版权局关于对出版和复制境外电子出版物和计算机软件进行著作权授权合同登记和认证的通知（1996）</w:t>
      </w:r>
    </w:p>
    <w:p>
      <w:pPr>
        <w:numPr>
          <w:ilvl w:val="0"/>
          <w:numId w:val="0"/>
        </w:numPr>
        <w:ind w:leftChars="0"/>
        <w:jc w:val="both"/>
        <w:rPr>
          <w:rFonts w:hint="default"/>
          <w:sz w:val="24"/>
          <w:szCs w:val="32"/>
          <w:lang w:val="en-US" w:eastAsia="zh-CN"/>
        </w:rPr>
      </w:pPr>
      <w:r>
        <w:rPr>
          <w:rFonts w:hint="default"/>
          <w:sz w:val="24"/>
          <w:szCs w:val="32"/>
          <w:lang w:val="en-US" w:eastAsia="zh-CN"/>
        </w:rPr>
        <w:t>9、 国家版权局关于对出版境外音像制品合同进行登记的通知（1995）</w:t>
      </w:r>
    </w:p>
    <w:p>
      <w:pPr>
        <w:numPr>
          <w:ilvl w:val="0"/>
          <w:numId w:val="0"/>
        </w:numPr>
        <w:ind w:leftChars="0"/>
        <w:jc w:val="both"/>
        <w:rPr>
          <w:rFonts w:hint="default"/>
          <w:sz w:val="24"/>
          <w:szCs w:val="32"/>
          <w:lang w:val="en-US" w:eastAsia="zh-CN"/>
        </w:rPr>
      </w:pPr>
      <w:r>
        <w:rPr>
          <w:rFonts w:hint="default"/>
          <w:sz w:val="24"/>
          <w:szCs w:val="32"/>
          <w:lang w:val="en-US" w:eastAsia="zh-CN"/>
        </w:rPr>
        <w:t>10、 国家版权局关于出版境外音像制品著作权合同登记工作有关问题的通知（1999）</w:t>
      </w:r>
    </w:p>
    <w:p>
      <w:pPr>
        <w:numPr>
          <w:ilvl w:val="0"/>
          <w:numId w:val="0"/>
        </w:numPr>
        <w:ind w:leftChars="0"/>
        <w:jc w:val="both"/>
        <w:rPr>
          <w:rFonts w:hint="default"/>
          <w:sz w:val="24"/>
          <w:szCs w:val="32"/>
          <w:lang w:val="en-US" w:eastAsia="zh-CN"/>
        </w:rPr>
      </w:pPr>
      <w:r>
        <w:rPr>
          <w:rFonts w:hint="default"/>
          <w:sz w:val="24"/>
          <w:szCs w:val="32"/>
          <w:lang w:val="en-US" w:eastAsia="zh-CN"/>
        </w:rPr>
        <w:t>11、 国家版权局关于对复制境外音像制品委托合同进行登记的通知（1994）</w:t>
      </w:r>
    </w:p>
    <w:p>
      <w:pPr>
        <w:numPr>
          <w:ilvl w:val="0"/>
          <w:numId w:val="0"/>
        </w:numPr>
        <w:ind w:leftChars="0"/>
        <w:jc w:val="both"/>
        <w:rPr>
          <w:rFonts w:hint="default"/>
          <w:sz w:val="24"/>
          <w:szCs w:val="32"/>
          <w:lang w:val="en-US" w:eastAsia="zh-CN"/>
        </w:rPr>
      </w:pPr>
      <w:r>
        <w:rPr>
          <w:rFonts w:hint="default"/>
          <w:sz w:val="24"/>
          <w:szCs w:val="32"/>
          <w:lang w:val="en-US" w:eastAsia="zh-CN"/>
        </w:rPr>
        <w:t>12、 国家版权局关于大陆与台、港、澳版权贸易合同审核办法的通知（1988）</w:t>
      </w:r>
    </w:p>
    <w:p>
      <w:pPr>
        <w:numPr>
          <w:ilvl w:val="0"/>
          <w:numId w:val="0"/>
        </w:numPr>
        <w:ind w:leftChars="0"/>
        <w:jc w:val="both"/>
        <w:rPr>
          <w:rFonts w:hint="default"/>
          <w:sz w:val="24"/>
          <w:szCs w:val="32"/>
          <w:lang w:val="en-US" w:eastAsia="zh-CN"/>
        </w:rPr>
      </w:pPr>
      <w:r>
        <w:rPr>
          <w:rFonts w:hint="default"/>
          <w:sz w:val="24"/>
          <w:szCs w:val="32"/>
          <w:lang w:val="en-US" w:eastAsia="zh-CN"/>
        </w:rPr>
        <w:t>13、 新闻出版署国家版权局关于征订台、港、澳作者的图书应出示合同审核登记号的通知（1989）</w:t>
      </w:r>
    </w:p>
    <w:p>
      <w:pPr>
        <w:numPr>
          <w:ilvl w:val="0"/>
          <w:numId w:val="0"/>
        </w:numPr>
        <w:ind w:leftChars="0"/>
        <w:jc w:val="both"/>
        <w:rPr>
          <w:rFonts w:hint="default"/>
          <w:sz w:val="24"/>
          <w:szCs w:val="32"/>
          <w:lang w:val="en-US" w:eastAsia="zh-CN"/>
        </w:rPr>
      </w:pPr>
      <w:r>
        <w:rPr>
          <w:rFonts w:hint="default"/>
          <w:sz w:val="24"/>
          <w:szCs w:val="32"/>
          <w:lang w:val="en-US" w:eastAsia="zh-CN"/>
        </w:rPr>
        <w:t>14、 国家版权局公告（第9号）——指定计算机软件登记机构（2002）</w:t>
      </w:r>
    </w:p>
    <w:p>
      <w:pPr>
        <w:numPr>
          <w:ilvl w:val="0"/>
          <w:numId w:val="0"/>
        </w:numPr>
        <w:ind w:leftChars="0"/>
        <w:jc w:val="both"/>
        <w:rPr>
          <w:rFonts w:hint="default"/>
          <w:sz w:val="24"/>
          <w:szCs w:val="32"/>
          <w:lang w:val="en-US" w:eastAsia="zh-CN"/>
        </w:rPr>
      </w:pPr>
      <w:r>
        <w:rPr>
          <w:rFonts w:hint="default"/>
          <w:sz w:val="24"/>
          <w:szCs w:val="32"/>
          <w:lang w:val="en-US" w:eastAsia="zh-CN"/>
        </w:rPr>
        <w:t>15、 国家版权局公告（第11号）——指定著作权质押合同登记机构（2002）</w:t>
      </w:r>
    </w:p>
    <w:p>
      <w:pPr>
        <w:numPr>
          <w:ilvl w:val="0"/>
          <w:numId w:val="0"/>
        </w:numPr>
        <w:ind w:leftChars="0"/>
        <w:jc w:val="both"/>
        <w:rPr>
          <w:rFonts w:hint="default"/>
          <w:sz w:val="24"/>
          <w:szCs w:val="32"/>
          <w:lang w:val="en-US" w:eastAsia="zh-CN"/>
        </w:rPr>
      </w:pPr>
      <w:r>
        <w:rPr>
          <w:rFonts w:hint="default"/>
          <w:sz w:val="24"/>
          <w:szCs w:val="32"/>
          <w:lang w:val="en-US" w:eastAsia="zh-CN"/>
        </w:rPr>
        <w:t>16、 国务院鼓励软件产业和集成电路产业发展的若干政策（2000）</w:t>
      </w:r>
    </w:p>
    <w:p>
      <w:pPr>
        <w:numPr>
          <w:ilvl w:val="0"/>
          <w:numId w:val="0"/>
        </w:numPr>
        <w:ind w:leftChars="0"/>
        <w:jc w:val="both"/>
        <w:rPr>
          <w:rFonts w:hint="default"/>
          <w:sz w:val="24"/>
          <w:szCs w:val="32"/>
          <w:lang w:val="en-US" w:eastAsia="zh-CN"/>
        </w:rPr>
      </w:pPr>
      <w:r>
        <w:rPr>
          <w:rFonts w:hint="default"/>
          <w:sz w:val="24"/>
          <w:szCs w:val="32"/>
          <w:lang w:val="en-US" w:eastAsia="zh-CN"/>
        </w:rPr>
        <w:t>17、 财政部、国家税务总局、海关总署关于鼓励软件产业和集成电路产业发展有关税收政策问题的通知（2000）</w:t>
      </w:r>
    </w:p>
    <w:p>
      <w:pPr>
        <w:numPr>
          <w:ilvl w:val="0"/>
          <w:numId w:val="0"/>
        </w:numPr>
        <w:ind w:leftChars="0"/>
        <w:jc w:val="both"/>
        <w:rPr>
          <w:rFonts w:hint="default"/>
          <w:sz w:val="24"/>
          <w:szCs w:val="32"/>
          <w:lang w:val="en-US" w:eastAsia="zh-CN"/>
        </w:rPr>
      </w:pPr>
      <w:r>
        <w:rPr>
          <w:rFonts w:hint="default"/>
          <w:sz w:val="24"/>
          <w:szCs w:val="32"/>
          <w:lang w:val="en-US" w:eastAsia="zh-CN"/>
        </w:rPr>
        <w:t>18、 关于软件出口有关问题的通知（2000）</w:t>
      </w:r>
    </w:p>
    <w:p>
      <w:pPr>
        <w:numPr>
          <w:ilvl w:val="0"/>
          <w:numId w:val="0"/>
        </w:numPr>
        <w:ind w:leftChars="0"/>
        <w:jc w:val="both"/>
        <w:rPr>
          <w:rFonts w:hint="default"/>
          <w:sz w:val="24"/>
          <w:szCs w:val="32"/>
          <w:lang w:val="en-US" w:eastAsia="zh-CN"/>
        </w:rPr>
      </w:pPr>
      <w:r>
        <w:rPr>
          <w:rFonts w:hint="default"/>
          <w:sz w:val="24"/>
          <w:szCs w:val="32"/>
          <w:lang w:val="en-US" w:eastAsia="zh-CN"/>
        </w:rPr>
        <w:t>19、 国家版权局关于贯彻落实《国务院关于鼓励软件产业和集成电路产业发展的若干政策》的意见</w:t>
      </w:r>
    </w:p>
    <w:p>
      <w:pPr>
        <w:numPr>
          <w:ilvl w:val="0"/>
          <w:numId w:val="0"/>
        </w:numPr>
        <w:ind w:leftChars="0"/>
        <w:jc w:val="both"/>
        <w:rPr>
          <w:rFonts w:hint="default"/>
          <w:sz w:val="24"/>
          <w:szCs w:val="32"/>
          <w:lang w:val="en-US" w:eastAsia="zh-CN"/>
        </w:rPr>
      </w:pPr>
      <w:r>
        <w:rPr>
          <w:rFonts w:hint="default"/>
          <w:sz w:val="24"/>
          <w:szCs w:val="32"/>
          <w:lang w:val="en-US" w:eastAsia="zh-CN"/>
        </w:rPr>
        <w:t>（2001）</w:t>
      </w:r>
    </w:p>
    <w:p>
      <w:pPr>
        <w:numPr>
          <w:ilvl w:val="0"/>
          <w:numId w:val="0"/>
        </w:numPr>
        <w:ind w:leftChars="0"/>
        <w:jc w:val="both"/>
        <w:rPr>
          <w:rFonts w:hint="default"/>
          <w:sz w:val="24"/>
          <w:szCs w:val="32"/>
          <w:lang w:val="en-US" w:eastAsia="zh-CN"/>
        </w:rPr>
      </w:pPr>
      <w:r>
        <w:rPr>
          <w:rFonts w:hint="default"/>
          <w:sz w:val="24"/>
          <w:szCs w:val="32"/>
          <w:lang w:val="en-US" w:eastAsia="zh-CN"/>
        </w:rPr>
        <w:t>20、 财政部、国家税务总局关于进一步鼓励软件产业和集成电路产业发展税收政策的通知（2002）</w:t>
      </w:r>
    </w:p>
    <w:p>
      <w:pPr>
        <w:numPr>
          <w:ilvl w:val="0"/>
          <w:numId w:val="0"/>
        </w:numPr>
        <w:ind w:leftChars="0"/>
        <w:jc w:val="both"/>
        <w:rPr>
          <w:rFonts w:hint="default"/>
          <w:sz w:val="24"/>
          <w:szCs w:val="32"/>
          <w:lang w:val="en-US" w:eastAsia="zh-CN"/>
        </w:rPr>
      </w:pPr>
      <w:r>
        <w:rPr>
          <w:rFonts w:hint="default"/>
          <w:sz w:val="24"/>
          <w:szCs w:val="32"/>
          <w:lang w:val="en-US" w:eastAsia="zh-CN"/>
        </w:rPr>
        <w:t>21、 关于进一步提高我国软件企业技术创新能力的实施意见（2004）</w:t>
      </w:r>
    </w:p>
    <w:p>
      <w:pPr>
        <w:numPr>
          <w:ilvl w:val="0"/>
          <w:numId w:val="0"/>
        </w:numPr>
        <w:ind w:leftChars="0"/>
        <w:jc w:val="both"/>
        <w:rPr>
          <w:rFonts w:hint="default"/>
          <w:sz w:val="24"/>
          <w:szCs w:val="32"/>
          <w:lang w:val="en-US" w:eastAsia="zh-CN"/>
        </w:rPr>
      </w:pPr>
      <w:r>
        <w:rPr>
          <w:rFonts w:hint="default"/>
          <w:sz w:val="24"/>
          <w:szCs w:val="32"/>
          <w:lang w:val="en-US" w:eastAsia="zh-CN"/>
        </w:rPr>
        <w:t>22、 软件产品管理办法（2000）</w:t>
      </w:r>
    </w:p>
    <w:p>
      <w:pPr>
        <w:numPr>
          <w:ilvl w:val="0"/>
          <w:numId w:val="0"/>
        </w:numPr>
        <w:ind w:leftChars="0"/>
        <w:jc w:val="both"/>
        <w:rPr>
          <w:rFonts w:hint="default"/>
          <w:sz w:val="24"/>
          <w:szCs w:val="32"/>
          <w:lang w:val="en-US" w:eastAsia="zh-CN"/>
        </w:rPr>
      </w:pPr>
      <w:r>
        <w:rPr>
          <w:rFonts w:hint="default"/>
          <w:sz w:val="24"/>
          <w:szCs w:val="32"/>
          <w:lang w:val="en-US" w:eastAsia="zh-CN"/>
        </w:rPr>
        <w:t>23、 软件企业认定标准及管理办法（2000）</w:t>
      </w:r>
    </w:p>
    <w:p>
      <w:pPr>
        <w:numPr>
          <w:ilvl w:val="0"/>
          <w:numId w:val="0"/>
        </w:numPr>
        <w:ind w:leftChars="0"/>
        <w:jc w:val="both"/>
        <w:rPr>
          <w:rFonts w:hint="default"/>
          <w:sz w:val="24"/>
          <w:szCs w:val="32"/>
          <w:lang w:val="en-US" w:eastAsia="zh-CN"/>
        </w:rPr>
      </w:pPr>
      <w:r>
        <w:rPr>
          <w:rFonts w:hint="default"/>
          <w:sz w:val="24"/>
          <w:szCs w:val="32"/>
          <w:lang w:val="en-US" w:eastAsia="zh-CN"/>
        </w:rPr>
        <w:t>24、 国家火炬计划软件产业基地认定条件和办法（2000）</w:t>
      </w:r>
    </w:p>
    <w:p>
      <w:pPr>
        <w:numPr>
          <w:ilvl w:val="0"/>
          <w:numId w:val="0"/>
        </w:numPr>
        <w:ind w:leftChars="0"/>
        <w:jc w:val="both"/>
        <w:rPr>
          <w:rFonts w:hint="default"/>
          <w:sz w:val="24"/>
          <w:szCs w:val="32"/>
          <w:lang w:val="en-US" w:eastAsia="zh-CN"/>
        </w:rPr>
      </w:pPr>
      <w:r>
        <w:rPr>
          <w:rFonts w:hint="default"/>
          <w:sz w:val="24"/>
          <w:szCs w:val="32"/>
          <w:lang w:val="en-US" w:eastAsia="zh-CN"/>
        </w:rPr>
        <w:t>25、 国家火炬计划软件产业基地骨干企业认定条件和办法（2001）</w:t>
      </w:r>
    </w:p>
    <w:p>
      <w:pPr>
        <w:numPr>
          <w:ilvl w:val="0"/>
          <w:numId w:val="0"/>
        </w:numPr>
        <w:ind w:leftChars="0"/>
        <w:jc w:val="both"/>
        <w:rPr>
          <w:rFonts w:hint="default"/>
          <w:sz w:val="24"/>
          <w:szCs w:val="32"/>
          <w:lang w:val="en-US" w:eastAsia="zh-CN"/>
        </w:rPr>
      </w:pPr>
      <w:r>
        <w:rPr>
          <w:rFonts w:hint="default"/>
          <w:sz w:val="24"/>
          <w:szCs w:val="32"/>
          <w:lang w:val="en-US" w:eastAsia="zh-CN"/>
        </w:rPr>
        <w:t>26、 国家规划布局内的重点软件企业认定管理办法（试行）（2001）</w:t>
      </w:r>
    </w:p>
    <w:p>
      <w:pPr>
        <w:numPr>
          <w:ilvl w:val="0"/>
          <w:numId w:val="0"/>
        </w:numPr>
        <w:ind w:leftChars="0"/>
        <w:jc w:val="both"/>
        <w:rPr>
          <w:rFonts w:hint="default"/>
          <w:sz w:val="24"/>
          <w:szCs w:val="32"/>
          <w:lang w:val="en-US" w:eastAsia="zh-CN"/>
        </w:rPr>
      </w:pPr>
      <w:r>
        <w:rPr>
          <w:rFonts w:hint="default"/>
          <w:sz w:val="24"/>
          <w:szCs w:val="32"/>
          <w:lang w:val="en-US" w:eastAsia="zh-CN"/>
        </w:rPr>
        <w:t>27、 计算机信息系统集成资质等级评定条件（试行）（2000）</w:t>
      </w:r>
    </w:p>
    <w:p>
      <w:pPr>
        <w:numPr>
          <w:ilvl w:val="0"/>
          <w:numId w:val="0"/>
        </w:numPr>
        <w:ind w:leftChars="0"/>
        <w:jc w:val="both"/>
        <w:rPr>
          <w:rFonts w:hint="default"/>
          <w:sz w:val="24"/>
          <w:szCs w:val="32"/>
          <w:lang w:val="en-US" w:eastAsia="zh-CN"/>
        </w:rPr>
      </w:pPr>
      <w:r>
        <w:rPr>
          <w:rFonts w:hint="default"/>
          <w:sz w:val="24"/>
          <w:szCs w:val="32"/>
          <w:lang w:val="en-US" w:eastAsia="zh-CN"/>
        </w:rPr>
        <w:t>28、 北京市关于贯彻国务院鼓励软件产业和集成电路产业发展若干政策的实施意见（2001）</w:t>
      </w:r>
    </w:p>
    <w:p>
      <w:pPr>
        <w:numPr>
          <w:ilvl w:val="0"/>
          <w:numId w:val="0"/>
        </w:numPr>
        <w:ind w:leftChars="0"/>
        <w:jc w:val="both"/>
        <w:rPr>
          <w:rFonts w:hint="default"/>
          <w:sz w:val="24"/>
          <w:szCs w:val="32"/>
          <w:lang w:val="en-US" w:eastAsia="zh-CN"/>
        </w:rPr>
      </w:pPr>
      <w:r>
        <w:rPr>
          <w:rFonts w:hint="default"/>
          <w:sz w:val="24"/>
          <w:szCs w:val="32"/>
          <w:lang w:val="en-US" w:eastAsia="zh-CN"/>
        </w:rPr>
        <w:t>29、 北京市软件企业认定和软件产品登记管理实施办法（试行）（2001）</w:t>
      </w:r>
    </w:p>
    <w:p>
      <w:pPr>
        <w:numPr>
          <w:ilvl w:val="0"/>
          <w:numId w:val="0"/>
        </w:numPr>
        <w:ind w:leftChars="0"/>
        <w:jc w:val="both"/>
        <w:rPr>
          <w:rFonts w:hint="default"/>
          <w:sz w:val="24"/>
          <w:szCs w:val="32"/>
          <w:lang w:val="en-US" w:eastAsia="zh-CN"/>
        </w:rPr>
      </w:pPr>
      <w:r>
        <w:rPr>
          <w:rFonts w:hint="default"/>
          <w:sz w:val="24"/>
          <w:szCs w:val="32"/>
          <w:lang w:val="en-US" w:eastAsia="zh-CN"/>
        </w:rPr>
        <w:t>30、 关于北京市软件企业高级人才专项奖励管理暂行办法（2001）</w:t>
      </w:r>
    </w:p>
    <w:p>
      <w:pPr>
        <w:numPr>
          <w:ilvl w:val="0"/>
          <w:numId w:val="0"/>
        </w:numPr>
        <w:ind w:leftChars="0"/>
        <w:jc w:val="both"/>
        <w:rPr>
          <w:rFonts w:hint="default"/>
          <w:sz w:val="24"/>
          <w:szCs w:val="32"/>
          <w:lang w:val="en-US" w:eastAsia="zh-CN"/>
        </w:rPr>
      </w:pPr>
      <w:r>
        <w:rPr>
          <w:rFonts w:hint="default"/>
          <w:sz w:val="24"/>
          <w:szCs w:val="32"/>
          <w:lang w:val="en-US" w:eastAsia="zh-CN"/>
        </w:rPr>
        <w:t>31、 北京软件产品名称规范(试行)</w:t>
      </w:r>
    </w:p>
    <w:p>
      <w:pPr>
        <w:numPr>
          <w:ilvl w:val="0"/>
          <w:numId w:val="0"/>
        </w:numPr>
        <w:ind w:leftChars="0"/>
        <w:jc w:val="both"/>
        <w:rPr>
          <w:rFonts w:hint="default"/>
          <w:b/>
          <w:bCs/>
          <w:sz w:val="28"/>
          <w:szCs w:val="36"/>
          <w:lang w:val="en-US" w:eastAsia="zh-CN"/>
        </w:rPr>
      </w:pPr>
      <w:r>
        <w:rPr>
          <w:rFonts w:hint="default"/>
          <w:sz w:val="24"/>
          <w:szCs w:val="32"/>
          <w:lang w:val="en-US" w:eastAsia="zh-CN"/>
        </w:rPr>
        <w:t>32、 中国版权保护中心关于计算机软件著作权登记代理有关问题的公告</w:t>
      </w:r>
    </w:p>
    <w:p>
      <w:pPr>
        <w:numPr>
          <w:ilvl w:val="0"/>
          <w:numId w:val="3"/>
        </w:numPr>
        <w:ind w:left="425" w:leftChars="0" w:hanging="425" w:firstLineChars="0"/>
        <w:jc w:val="both"/>
        <w:rPr>
          <w:rFonts w:hint="default"/>
          <w:b/>
          <w:bCs/>
          <w:sz w:val="28"/>
          <w:szCs w:val="36"/>
          <w:lang w:val="en-US" w:eastAsia="zh-CN"/>
        </w:rPr>
      </w:pPr>
      <w:r>
        <w:rPr>
          <w:rFonts w:hint="eastAsia"/>
          <w:b/>
          <w:bCs/>
          <w:sz w:val="28"/>
          <w:szCs w:val="36"/>
          <w:lang w:val="en-US" w:eastAsia="zh-CN"/>
        </w:rPr>
        <w:t>制定规范的意义</w:t>
      </w:r>
    </w:p>
    <w:p>
      <w:pPr>
        <w:keepNext w:val="0"/>
        <w:keepLines w:val="0"/>
        <w:pageBreakBefore w:val="0"/>
        <w:widowControl w:val="0"/>
        <w:numPr>
          <w:ilvl w:val="0"/>
          <w:numId w:val="5"/>
        </w:numPr>
        <w:kinsoku/>
        <w:wordWrap/>
        <w:overflowPunct/>
        <w:topLinePunct w:val="0"/>
        <w:autoSpaceDE/>
        <w:autoSpaceDN/>
        <w:bidi w:val="0"/>
        <w:adjustRightInd/>
        <w:snapToGrid/>
        <w:spacing w:afterAutospacing="0"/>
        <w:jc w:val="left"/>
        <w:textAlignment w:val="auto"/>
        <w:rPr>
          <w:rFonts w:hint="default"/>
          <w:b/>
          <w:bCs/>
          <w:sz w:val="28"/>
          <w:szCs w:val="36"/>
          <w:lang w:val="en-US" w:eastAsia="zh-CN"/>
        </w:rPr>
      </w:pPr>
      <w:r>
        <w:rPr>
          <w:rFonts w:hint="default"/>
          <w:sz w:val="24"/>
          <w:szCs w:val="32"/>
          <w:lang w:val="en-US" w:eastAsia="zh-CN"/>
        </w:rPr>
        <w:t>标准是企业产品生产的重要依据，也是保证产品质量，提高自己产品在市场竞争力的前提条件。</w:t>
      </w:r>
      <w:r>
        <w:rPr>
          <w:rFonts w:ascii="宋体" w:hAnsi="宋体" w:eastAsia="宋体" w:cs="宋体"/>
          <w:sz w:val="24"/>
          <w:szCs w:val="24"/>
        </w:rPr>
        <w:t>它们代表了各生产部门之间、生产部门]和用户之间、产品的生产过程期间和产品的验收与评价期间大家所公认的、必须遵守的约定和规则，并在长期使用过程中不断地被修改、丰富和完善。标准化是一门综合性很强的技术工作，内容十分广泛，随着科学技术的发展和国民经济监督管理的需要,作为技术监督-部分的标准化工作，已经渗透到科研、管理以及应用的各个领域。社会实践证明,按照统一.简化、优选和协调的原则做好标准化工作，对于加快国民经济建设,提高产品和工程质量,促进技术进步，合理利用资源,实现以信息技术为基础的现代化管理具有非常重要的作用。软件产业作为一项新兴的现代化产业，随着它的逐步形成、发展和壮大，制定软件工程领域内有关的标准与规范已势在必行。</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ascii="宋体" w:hAnsi="宋体" w:eastAsia="宋体" w:cs="宋体"/>
          <w:sz w:val="24"/>
          <w:szCs w:val="24"/>
        </w:rPr>
        <w:t>软件系统的开发,特别是那些规模较大、内容复杂的大型软件项目，是-项技术密集、资金密集的大型系统工程,涉及到的范围较广，周期也较长。因此,在系统设计、开发和应用过程中一系列标准化工作，已成为软件产业建设和发展过程中一项紧迫的战略任务。在国外,由于缺乏软件开发的标准与规范致使系统出现很大问题，无法正常运行，推倒重来造成巨大浪费的惨痛教训是不乏其例的。要避免这种情况在我国软件产业的发;展中重演,就必须认真搞好软件开发的标准化工作。</w:t>
      </w:r>
      <w:r>
        <w:rPr>
          <w:rFonts w:ascii="宋体" w:hAnsi="宋体" w:eastAsia="宋体" w:cs="宋体"/>
          <w:sz w:val="24"/>
          <w:szCs w:val="24"/>
        </w:rPr>
        <w:br w:type="textWrapping"/>
      </w:r>
      <w:r>
        <w:rPr>
          <w:rFonts w:ascii="宋体" w:hAnsi="宋体" w:eastAsia="宋体" w:cs="宋体"/>
          <w:sz w:val="24"/>
          <w:szCs w:val="24"/>
        </w:rPr>
        <w:t>软件是计算机系统的灵魂，随着计算机应用范围不断扩大，软件的需求与满足程度之间的矛盾越来越尖锐。据有关文献统计，即使在软件产业最为发达的美国,软件需求量每年递增约12%,而软件人员的劳动生产率每年只能递增4%。换言之,软件需求的积压程度将以每年8%的速度增长，这就是人们常说的当今世界普遍存在的“软件危机”的内容之一。为了克服这种“软件危机”，西方发达国家在70年代初就意识到建立软件标准的重要性,并着手研究和制定各种软件工程标准。美国国防部为了适应军用软件的开发需要,制定了一系列软件工程标准,如美国国防部标准DODSTD-1679A和DOD-STD-2167,它们构成了一个体系，比民用标准更加严格具体。目前世界各国都在努力研究新的软件开发方法，制定软件工业化生产的标准与规范,并进-步完善软件.工程环境。总结和吸收国外软件开发的先进经验，在软件生存期的每-一个阶段全面制定软件产品开发与管理的标准和规范,并严格遵照执行，这不仅可以提高软件系统分析和设计的质量,而且对后期的软件测试、验收、管理和维护都将产生积极的影响。</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ascii="宋体" w:hAnsi="宋体" w:eastAsia="宋体" w:cs="宋体"/>
          <w:sz w:val="24"/>
          <w:szCs w:val="24"/>
        </w:rPr>
        <w:t>我国政府部门、软件开发组织以及使用部门都开始意识到在软件工程领域内制定各种标准的重要性,有组织地制定了一系列软件开发、生产以及管理活动的规范与规程,标准化工作受到了很大的重视。随着软件开发标准体系的日益完善,我国的软件产业也将沿着现代化的正确轨道快速发展。</w:t>
      </w:r>
    </w:p>
    <w:p>
      <w:pPr>
        <w:numPr>
          <w:ilvl w:val="0"/>
          <w:numId w:val="3"/>
        </w:numPr>
        <w:ind w:left="425" w:leftChars="0" w:hanging="425" w:firstLineChars="0"/>
        <w:jc w:val="both"/>
        <w:rPr>
          <w:rFonts w:hint="default"/>
          <w:b/>
          <w:bCs/>
          <w:sz w:val="28"/>
          <w:szCs w:val="36"/>
          <w:lang w:val="en-US" w:eastAsia="zh-CN"/>
        </w:rPr>
      </w:pPr>
      <w:r>
        <w:rPr>
          <w:rFonts w:hint="eastAsia"/>
          <w:b/>
          <w:bCs/>
          <w:sz w:val="28"/>
          <w:szCs w:val="36"/>
          <w:lang w:val="en-US" w:eastAsia="zh-CN"/>
        </w:rPr>
        <w:t>规范之间的冲突</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ind w:firstLine="480" w:firstLineChars="200"/>
        <w:jc w:val="left"/>
        <w:textAlignment w:val="auto"/>
        <w:rPr>
          <w:rStyle w:val="10"/>
          <w:rFonts w:hint="eastAsia" w:ascii="宋体" w:hAnsi="宋体" w:eastAsia="宋体" w:cs="宋体"/>
          <w:sz w:val="24"/>
          <w:szCs w:val="24"/>
          <w:lang w:val="en-US" w:eastAsia="zh-CN"/>
        </w:rPr>
      </w:pPr>
      <w:r>
        <w:rPr>
          <w:rFonts w:hint="eastAsia" w:ascii="宋体" w:hAnsi="宋体" w:eastAsia="宋体" w:cs="宋体"/>
          <w:i w:val="0"/>
          <w:iCs w:val="0"/>
          <w:caps w:val="0"/>
          <w:color w:val="171920"/>
          <w:spacing w:val="0"/>
          <w:sz w:val="24"/>
          <w:szCs w:val="24"/>
          <w:shd w:val="clear" w:fill="FFFFFF"/>
        </w:rPr>
        <w:t>在软件开发的过程中，软件工程师及工程管理人员不可避免地会在某些与工程相关的事务上产生冲突。为了减少和妥善地处理这些冲突，软件工程师和工程管理人员就应该以某种符合道德的方式行事。如下是IEEE道德规范委员会提出的9条指导方针。</w:t>
      </w:r>
      <w:r>
        <w:rPr>
          <w:rFonts w:hint="eastAsia" w:ascii="宋体" w:hAnsi="宋体" w:eastAsia="宋体" w:cs="宋体"/>
          <w:i w:val="0"/>
          <w:iCs w:val="0"/>
          <w:caps w:val="0"/>
          <w:color w:val="171920"/>
          <w:spacing w:val="0"/>
          <w:sz w:val="24"/>
          <w:szCs w:val="24"/>
          <w:shd w:val="clear" w:fill="FFFFFF"/>
        </w:rPr>
        <w:br w:type="textWrapping"/>
      </w:r>
      <w:r>
        <w:rPr>
          <w:rFonts w:hint="eastAsia" w:ascii="宋体" w:hAnsi="宋体" w:eastAsia="宋体" w:cs="宋体"/>
          <w:i w:val="0"/>
          <w:iCs w:val="0"/>
          <w:caps w:val="0"/>
          <w:color w:val="171920"/>
          <w:spacing w:val="0"/>
          <w:sz w:val="24"/>
          <w:szCs w:val="24"/>
          <w:shd w:val="clear" w:fill="FFFFFF"/>
        </w:rPr>
        <w:t>（1）确立清晰的技术基础：尽量弄清事实，充分理解技术上的不同观点，而且一旦证实对方的观点是正确的，就要毫不犹豫地接受。</w:t>
      </w:r>
      <w:r>
        <w:rPr>
          <w:rFonts w:hint="eastAsia" w:ascii="宋体" w:hAnsi="宋体" w:eastAsia="宋体" w:cs="宋体"/>
          <w:i w:val="0"/>
          <w:iCs w:val="0"/>
          <w:caps w:val="0"/>
          <w:color w:val="171920"/>
          <w:spacing w:val="0"/>
          <w:sz w:val="24"/>
          <w:szCs w:val="24"/>
          <w:shd w:val="clear" w:fill="FFFFFF"/>
        </w:rPr>
        <w:br w:type="textWrapping"/>
      </w:r>
      <w:r>
        <w:rPr>
          <w:rFonts w:hint="eastAsia" w:ascii="宋体" w:hAnsi="宋体" w:eastAsia="宋体" w:cs="宋体"/>
          <w:i w:val="0"/>
          <w:iCs w:val="0"/>
          <w:caps w:val="0"/>
          <w:color w:val="171920"/>
          <w:spacing w:val="0"/>
          <w:sz w:val="24"/>
          <w:szCs w:val="24"/>
          <w:shd w:val="clear" w:fill="FFFFFF"/>
        </w:rPr>
        <w:t>（2）使自己的观点具有较高的职业水准，尽量使其客观和不带有个人感情色彩，避免涉及无关的事务和感情冲动。</w:t>
      </w:r>
      <w:r>
        <w:rPr>
          <w:rFonts w:hint="eastAsia" w:ascii="宋体" w:hAnsi="宋体" w:eastAsia="宋体" w:cs="宋体"/>
          <w:i w:val="0"/>
          <w:iCs w:val="0"/>
          <w:caps w:val="0"/>
          <w:color w:val="171920"/>
          <w:spacing w:val="0"/>
          <w:sz w:val="24"/>
          <w:szCs w:val="24"/>
          <w:shd w:val="clear" w:fill="FFFFFF"/>
        </w:rPr>
        <w:br w:type="textWrapping"/>
      </w:r>
      <w:r>
        <w:rPr>
          <w:rFonts w:hint="eastAsia" w:ascii="宋体" w:hAnsi="宋体" w:eastAsia="宋体" w:cs="宋体"/>
          <w:i w:val="0"/>
          <w:iCs w:val="0"/>
          <w:caps w:val="0"/>
          <w:color w:val="171920"/>
          <w:spacing w:val="0"/>
          <w:sz w:val="24"/>
          <w:szCs w:val="24"/>
          <w:shd w:val="clear" w:fill="FFFFFF"/>
        </w:rPr>
        <w:t>（3）及早发现问题，</w:t>
      </w:r>
      <w:bookmarkStart w:id="0" w:name="_GoBack"/>
      <w:bookmarkEnd w:id="0"/>
      <w:r>
        <w:rPr>
          <w:rFonts w:hint="eastAsia" w:ascii="宋体" w:hAnsi="宋体" w:eastAsia="宋体" w:cs="宋体"/>
          <w:i w:val="0"/>
          <w:iCs w:val="0"/>
          <w:caps w:val="0"/>
          <w:color w:val="171920"/>
          <w:spacing w:val="0"/>
          <w:sz w:val="24"/>
          <w:szCs w:val="24"/>
          <w:shd w:val="clear" w:fill="FFFFFF"/>
        </w:rPr>
        <w:t>尽量在最低层的管理部门解决问题。</w:t>
      </w:r>
      <w:r>
        <w:rPr>
          <w:rFonts w:hint="eastAsia" w:ascii="宋体" w:hAnsi="宋体" w:eastAsia="宋体" w:cs="宋体"/>
          <w:i w:val="0"/>
          <w:iCs w:val="0"/>
          <w:caps w:val="0"/>
          <w:color w:val="171920"/>
          <w:spacing w:val="0"/>
          <w:sz w:val="24"/>
          <w:szCs w:val="24"/>
          <w:shd w:val="clear" w:fill="FFFFFF"/>
        </w:rPr>
        <w:br w:type="textWrapping"/>
      </w:r>
      <w:r>
        <w:rPr>
          <w:rFonts w:hint="eastAsia" w:ascii="宋体" w:hAnsi="宋体" w:eastAsia="宋体" w:cs="宋体"/>
          <w:i w:val="0"/>
          <w:iCs w:val="0"/>
          <w:caps w:val="0"/>
          <w:color w:val="171920"/>
          <w:spacing w:val="0"/>
          <w:sz w:val="24"/>
          <w:szCs w:val="24"/>
          <w:shd w:val="clear" w:fill="FFFFFF"/>
        </w:rPr>
        <w:t>（4）在因为某事务而决定单干之前，要确保该事务足够重要，值得为此冒险。</w:t>
      </w:r>
      <w:r>
        <w:rPr>
          <w:rFonts w:hint="eastAsia" w:ascii="宋体" w:hAnsi="宋体" w:eastAsia="宋体" w:cs="宋体"/>
          <w:i w:val="0"/>
          <w:iCs w:val="0"/>
          <w:caps w:val="0"/>
          <w:color w:val="171920"/>
          <w:spacing w:val="0"/>
          <w:sz w:val="24"/>
          <w:szCs w:val="24"/>
          <w:shd w:val="clear" w:fill="FFFFFF"/>
        </w:rPr>
        <w:br w:type="textWrapping"/>
      </w:r>
      <w:r>
        <w:rPr>
          <w:rFonts w:hint="eastAsia" w:ascii="宋体" w:hAnsi="宋体" w:eastAsia="宋体" w:cs="宋体"/>
          <w:i w:val="0"/>
          <w:iCs w:val="0"/>
          <w:caps w:val="0"/>
          <w:color w:val="171920"/>
          <w:spacing w:val="0"/>
          <w:sz w:val="24"/>
          <w:szCs w:val="24"/>
          <w:shd w:val="clear" w:fill="FFFFFF"/>
        </w:rPr>
        <w:t>（5）利用组织的争端裁决机制解决问题。</w:t>
      </w:r>
      <w:r>
        <w:rPr>
          <w:rFonts w:hint="eastAsia" w:ascii="宋体" w:hAnsi="宋体" w:eastAsia="宋体" w:cs="宋体"/>
          <w:i w:val="0"/>
          <w:iCs w:val="0"/>
          <w:caps w:val="0"/>
          <w:color w:val="171920"/>
          <w:spacing w:val="0"/>
          <w:sz w:val="24"/>
          <w:szCs w:val="24"/>
          <w:shd w:val="clear" w:fill="FFFFFF"/>
        </w:rPr>
        <w:br w:type="textWrapping"/>
      </w:r>
      <w:r>
        <w:rPr>
          <w:rFonts w:hint="eastAsia" w:ascii="宋体" w:hAnsi="宋体" w:eastAsia="宋体" w:cs="宋体"/>
          <w:i w:val="0"/>
          <w:iCs w:val="0"/>
          <w:caps w:val="0"/>
          <w:color w:val="171920"/>
          <w:spacing w:val="0"/>
          <w:sz w:val="24"/>
          <w:szCs w:val="24"/>
          <w:shd w:val="clear" w:fill="FFFFFF"/>
        </w:rPr>
        <w:t>（6）保留记录，收集文件：当认识到自己处境严峻的时候，应着手制作日志，记录自己采取的每一项措施及其时间，并备份重要文件，防止突发事件。</w:t>
      </w:r>
      <w:r>
        <w:rPr>
          <w:rFonts w:hint="eastAsia" w:ascii="宋体" w:hAnsi="宋体" w:eastAsia="宋体" w:cs="宋体"/>
          <w:i w:val="0"/>
          <w:iCs w:val="0"/>
          <w:caps w:val="0"/>
          <w:color w:val="171920"/>
          <w:spacing w:val="0"/>
          <w:sz w:val="24"/>
          <w:szCs w:val="24"/>
          <w:shd w:val="clear" w:fill="FFFFFF"/>
        </w:rPr>
        <w:br w:type="textWrapping"/>
      </w:r>
      <w:r>
        <w:rPr>
          <w:rFonts w:hint="eastAsia" w:ascii="宋体" w:hAnsi="宋体" w:eastAsia="宋体" w:cs="宋体"/>
          <w:i w:val="0"/>
          <w:iCs w:val="0"/>
          <w:caps w:val="0"/>
          <w:color w:val="171920"/>
          <w:spacing w:val="0"/>
          <w:sz w:val="24"/>
          <w:szCs w:val="24"/>
          <w:shd w:val="clear" w:fill="FFFFFF"/>
        </w:rPr>
        <w:t>（7）辞职：当在组织内无法化解冲突的时候，要考虑自己是去还是留。选择辞职既有好处也有缺点，作出决定之前要慎重考虑。</w:t>
      </w:r>
      <w:r>
        <w:rPr>
          <w:rFonts w:hint="eastAsia" w:ascii="宋体" w:hAnsi="宋体" w:eastAsia="宋体" w:cs="宋体"/>
          <w:i w:val="0"/>
          <w:iCs w:val="0"/>
          <w:caps w:val="0"/>
          <w:color w:val="171920"/>
          <w:spacing w:val="0"/>
          <w:sz w:val="24"/>
          <w:szCs w:val="24"/>
          <w:shd w:val="clear" w:fill="FFFFFF"/>
        </w:rPr>
        <w:br w:type="textWrapping"/>
      </w:r>
      <w:r>
        <w:rPr>
          <w:rFonts w:hint="eastAsia" w:ascii="宋体" w:hAnsi="宋体" w:eastAsia="宋体" w:cs="宋体"/>
          <w:i w:val="0"/>
          <w:iCs w:val="0"/>
          <w:caps w:val="0"/>
          <w:color w:val="171920"/>
          <w:spacing w:val="0"/>
          <w:sz w:val="24"/>
          <w:szCs w:val="24"/>
          <w:shd w:val="clear" w:fill="FFFFFF"/>
        </w:rPr>
        <w:t>（8）匿名：工程师在认识到组织内部存在严重危害，而且公开提请组织的注意可能会招致有关人员超出其限度的强烈反应时，对该问题的反映可以考虑采用匿名报告的形式。</w:t>
      </w:r>
      <w:r>
        <w:rPr>
          <w:rFonts w:hint="eastAsia" w:ascii="宋体" w:hAnsi="宋体" w:eastAsia="宋体" w:cs="宋体"/>
          <w:i w:val="0"/>
          <w:iCs w:val="0"/>
          <w:caps w:val="0"/>
          <w:color w:val="171920"/>
          <w:spacing w:val="0"/>
          <w:sz w:val="24"/>
          <w:szCs w:val="24"/>
          <w:shd w:val="clear" w:fill="FFFFFF"/>
        </w:rPr>
        <w:br w:type="textWrapping"/>
      </w:r>
      <w:r>
        <w:rPr>
          <w:rFonts w:hint="eastAsia" w:ascii="宋体" w:hAnsi="宋体" w:eastAsia="宋体" w:cs="宋体"/>
          <w:i w:val="0"/>
          <w:iCs w:val="0"/>
          <w:caps w:val="0"/>
          <w:color w:val="171920"/>
          <w:spacing w:val="0"/>
          <w:sz w:val="24"/>
          <w:szCs w:val="24"/>
          <w:shd w:val="clear" w:fill="FFFFFF"/>
        </w:rPr>
        <w:t>（9）外部介入：组织内部化解冲突的努力失败后，如果工程人员决定让外界人员或机构介入该事件，那么不管他是否决定辞职，都必须认真考虑让谁介入。可能的选择有：执法机关、政府官员、立法人员或公共利益组织等。</w:t>
      </w:r>
    </w:p>
    <w:p>
      <w:pPr>
        <w:numPr>
          <w:ilvl w:val="0"/>
          <w:numId w:val="0"/>
        </w:numPr>
        <w:ind w:leftChars="0"/>
        <w:jc w:val="both"/>
        <w:rPr>
          <w:rFonts w:hint="default"/>
          <w:sz w:val="24"/>
          <w:szCs w:val="32"/>
          <w:lang w:val="en-US" w:eastAsia="zh-CN"/>
        </w:rPr>
      </w:pPr>
    </w:p>
    <w:p>
      <w:pPr>
        <w:numPr>
          <w:ilvl w:val="0"/>
          <w:numId w:val="0"/>
        </w:numPr>
        <w:ind w:leftChars="0"/>
        <w:jc w:val="both"/>
        <w:rPr>
          <w:rFonts w:hint="default"/>
          <w:sz w:val="24"/>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19A4C9"/>
    <w:multiLevelType w:val="singleLevel"/>
    <w:tmpl w:val="A919A4C9"/>
    <w:lvl w:ilvl="0" w:tentative="0">
      <w:start w:val="1"/>
      <w:numFmt w:val="decimal"/>
      <w:lvlText w:val="%1."/>
      <w:lvlJc w:val="left"/>
      <w:pPr>
        <w:ind w:left="425" w:hanging="425"/>
      </w:pPr>
      <w:rPr>
        <w:rFonts w:hint="default"/>
      </w:rPr>
    </w:lvl>
  </w:abstractNum>
  <w:abstractNum w:abstractNumId="1">
    <w:nsid w:val="FECABC89"/>
    <w:multiLevelType w:val="singleLevel"/>
    <w:tmpl w:val="FECABC89"/>
    <w:lvl w:ilvl="0" w:tentative="0">
      <w:start w:val="1"/>
      <w:numFmt w:val="chineseCounting"/>
      <w:suff w:val="nothing"/>
      <w:lvlText w:val="%1、"/>
      <w:lvlJc w:val="left"/>
      <w:pPr>
        <w:ind w:left="0" w:firstLine="420"/>
      </w:pPr>
      <w:rPr>
        <w:rFonts w:hint="eastAsia"/>
      </w:rPr>
    </w:lvl>
  </w:abstractNum>
  <w:abstractNum w:abstractNumId="2">
    <w:nsid w:val="54608138"/>
    <w:multiLevelType w:val="singleLevel"/>
    <w:tmpl w:val="54608138"/>
    <w:lvl w:ilvl="0" w:tentative="0">
      <w:start w:val="1"/>
      <w:numFmt w:val="decimal"/>
      <w:lvlText w:val="%1."/>
      <w:lvlJc w:val="left"/>
      <w:pPr>
        <w:ind w:left="425" w:hanging="425"/>
      </w:pPr>
      <w:rPr>
        <w:rFonts w:hint="default"/>
      </w:rPr>
    </w:lvl>
  </w:abstractNum>
  <w:abstractNum w:abstractNumId="3">
    <w:nsid w:val="76B803F8"/>
    <w:multiLevelType w:val="singleLevel"/>
    <w:tmpl w:val="76B803F8"/>
    <w:lvl w:ilvl="0" w:tentative="0">
      <w:start w:val="1"/>
      <w:numFmt w:val="chineseCounting"/>
      <w:suff w:val="nothing"/>
      <w:lvlText w:val="（%1）"/>
      <w:lvlJc w:val="left"/>
      <w:pPr>
        <w:ind w:left="0" w:firstLine="420"/>
      </w:pPr>
      <w:rPr>
        <w:rFonts w:hint="eastAsia"/>
      </w:rPr>
    </w:lvl>
  </w:abstractNum>
  <w:abstractNum w:abstractNumId="4">
    <w:nsid w:val="7986A864"/>
    <w:multiLevelType w:val="singleLevel"/>
    <w:tmpl w:val="7986A864"/>
    <w:lvl w:ilvl="0" w:tentative="0">
      <w:start w:val="3"/>
      <w:numFmt w:val="chineseCounting"/>
      <w:suff w:val="nothing"/>
      <w:lvlText w:val="%1、"/>
      <w:lvlJc w:val="left"/>
      <w:rPr>
        <w:rFonts w:hint="eastAsia"/>
      </w:r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gzMDVjZmVmMDc1ZGU4NzRlZDJjNzU2ZjBhYjQzZGIifQ=="/>
  </w:docVars>
  <w:rsids>
    <w:rsidRoot w:val="00000000"/>
    <w:rsid w:val="007B643D"/>
    <w:rsid w:val="033E5886"/>
    <w:rsid w:val="052350EF"/>
    <w:rsid w:val="07F6701D"/>
    <w:rsid w:val="276D1068"/>
    <w:rsid w:val="31FA01F4"/>
    <w:rsid w:val="55161FA9"/>
    <w:rsid w:val="551E4F63"/>
    <w:rsid w:val="6F646F7D"/>
    <w:rsid w:val="7DEA6B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0"/>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link w:val="1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link w:val="12"/>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qFormat/>
    <w:uiPriority w:val="0"/>
    <w:rPr>
      <w:color w:val="0000FF"/>
      <w:u w:val="single"/>
    </w:rPr>
  </w:style>
  <w:style w:type="character" w:customStyle="1" w:styleId="10">
    <w:name w:val="标题 1 Char"/>
    <w:link w:val="2"/>
    <w:qFormat/>
    <w:uiPriority w:val="0"/>
    <w:rPr>
      <w:b/>
      <w:kern w:val="44"/>
      <w:sz w:val="44"/>
    </w:rPr>
  </w:style>
  <w:style w:type="character" w:customStyle="1" w:styleId="11">
    <w:name w:val="标题 3 Char"/>
    <w:link w:val="3"/>
    <w:uiPriority w:val="0"/>
    <w:rPr>
      <w:rFonts w:hint="eastAsia" w:ascii="宋体" w:hAnsi="宋体" w:eastAsia="宋体" w:cs="宋体"/>
      <w:b/>
      <w:bCs/>
      <w:kern w:val="0"/>
      <w:sz w:val="27"/>
      <w:szCs w:val="27"/>
      <w:lang w:val="en-US" w:eastAsia="zh-CN" w:bidi="ar"/>
    </w:rPr>
  </w:style>
  <w:style w:type="character" w:customStyle="1" w:styleId="12">
    <w:name w:val="标题 4 Char"/>
    <w:link w:val="4"/>
    <w:uiPriority w:val="0"/>
    <w:rPr>
      <w:rFonts w:ascii="Arial" w:hAnsi="Arial" w:eastAsia="黑体"/>
      <w:b/>
      <w:sz w:val="2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4748</Words>
  <Characters>5029</Characters>
  <Lines>0</Lines>
  <Paragraphs>0</Paragraphs>
  <TotalTime>2</TotalTime>
  <ScaleCrop>false</ScaleCrop>
  <LinksUpToDate>false</LinksUpToDate>
  <CharactersWithSpaces>5071</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2023-06-22T05:24:00Z</dcterms:created>
  <dc:creator>dell</dc:creator>
  <cp:lastModifiedBy>Ki怪.</cp:lastModifiedBy>
  <dcterms:modified xsi:type="dcterms:W3CDTF">2023-06-25T05:50:15Z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AFB7FF735DD44196A4B530665883248D_12</vt:lpwstr>
  </property>
</Properties>
</file>