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Calibri" w:cs="Calibri" w:eastAsia="Calibri" w:hAnsi="Calibri"/>
          <w:b/>
          <w:bCs/>
          <w:color w:val="1F3864"/>
          <w:sz w:val="56"/>
          <w:szCs w:val="56"/>
        </w:rPr>
        <w:t xml:space="preserve">AiUra LegalLab</w:t>
      </w:r>
    </w:p>
    <w:p>
      <w:pPr>
        <w:jc w:val="center"/>
      </w:pPr>
      <w:r>
        <w:rPr>
          <w:rFonts w:ascii="Calibri" w:cs="Calibri" w:eastAsia="Calibri" w:hAnsi="Calibri"/>
          <w:color w:val="1F3864"/>
          <w:sz w:val="40"/>
          <w:szCs w:val="40"/>
        </w:rPr>
        <w:t xml:space="preserve">Valutazione Sistema</w:t>
      </w:r>
    </w:p>
    <w:p>
      <w:pPr>
        <w:spacing w:after="0" w:before="400"/>
      </w:pPr>
    </w:p>
    <w:p>
      <w:pPr>
        <w:jc w:val="center"/>
      </w:pPr>
      <w:r>
        <w:rPr>
          <w:rFonts w:ascii="Calibri" w:cs="Calibri" w:eastAsia="Calibri" w:hAnsi="Calibri"/>
          <w:color w:val="444444"/>
          <w:sz w:val="28"/>
          <w:szCs w:val="28"/>
        </w:rPr>
        <w:t xml:space="preserve">Golden Test Set  -  Prima Sessione  -  Penale Tributario</w:t>
      </w:r>
    </w:p>
    <w:p>
      <w:pPr>
        <w:spacing w:after="0" w:before="200"/>
      </w:pPr>
    </w:p>
    <w:p>
      <w:pPr>
        <w:jc w:val="center"/>
      </w:pPr>
      <w:r>
        <w:rPr>
          <w:rFonts w:ascii="Calibri" w:cs="Calibri" w:eastAsia="Calibri" w:hAnsi="Calibri"/>
          <w:color w:val="666666"/>
          <w:sz w:val="24"/>
          <w:szCs w:val="24"/>
        </w:rPr>
        <w:t xml:space="preserve">1 giugno 2026</w:t>
      </w:r>
    </w:p>
    <w:p>
      <w:pPr>
        <w:spacing w:after="0" w:before="600"/>
      </w:pPr>
    </w:p>
    <w:p>
      <w:pPr>
        <w:jc w:val="center"/>
      </w:pPr>
      <w:r>
        <w:rPr>
          <w:rFonts w:ascii="Calibri" w:cs="Calibri" w:eastAsia="Calibri" w:hAnsi="Calibri"/>
          <w:i/>
          <w:iCs/>
          <w:color w:val="888888"/>
          <w:sz w:val="20"/>
          <w:szCs w:val="20"/>
        </w:rPr>
        <w:t xml:space="preserve">Documento riservato - uso interno</w:t>
      </w:r>
    </w:p>
    <w:p>
      <w:r>
        <w:br w:type="page"/>
      </w:r>
    </w:p>
    <w:p>
      <w:pPr>
        <w:pStyle w:val="Heading1"/>
      </w:pPr>
      <w:r>
        <w:rPr>
          <w:rFonts w:ascii="Calibri" w:cs="Calibri" w:eastAsia="Calibri" w:hAnsi="Calibri"/>
          <w:b/>
          <w:bCs/>
          <w:color w:val="1F3864"/>
          <w:sz w:val="28"/>
          <w:szCs w:val="28"/>
        </w:rPr>
        <w:t xml:space="preserve">Istruzioni per la valutazione</w:t>
      </w:r>
    </w:p>
    <w:p>
      <w:pPr>
        <w:spacing w:after="0" w:before="160"/>
      </w:pPr>
    </w:p>
    <w:p>
      <w:pPr>
        <w:spacing w:after="200"/>
      </w:pPr>
      <w:r>
        <w:rPr>
          <w:rFonts w:ascii="Calibri" w:cs="Calibri" w:eastAsia="Calibri" w:hAnsi="Calibri"/>
          <w:sz w:val="22"/>
          <w:szCs w:val="22"/>
        </w:rPr>
        <w:t xml:space="preserve">Questo documento contiene 10 scenari giuridici in materia di penale tributario con le relative risposte generate dal sistema AiUra LegalLab. Per ciascuno Le chiediamo di valutare la risposta compilando la rubrica.</w:t>
      </w:r>
    </w:p>
    <w:p>
      <w:pPr>
        <w:spacing w:after="300"/>
      </w:pPr>
      <w:r>
        <w:rPr>
          <w:rFonts w:ascii="Calibri" w:cs="Calibri" w:eastAsia="Calibri" w:hAnsi="Calibri"/>
          <w:sz w:val="22"/>
          <w:szCs w:val="22"/>
        </w:rPr>
        <w:t xml:space="preserve">La valutazione richiede circa 5-10 minuti per scheda (60-90 minuti totali). Non e necessario completare tutto in una sola sessione.</w:t>
      </w:r>
    </w:p>
    <w:p>
      <w:pPr>
        <w:spacing w:after="100"/>
      </w:pPr>
      <w:r>
        <w:rPr>
          <w:rFonts w:ascii="Calibri" w:cs="Calibri" w:eastAsia="Calibri" w:hAnsi="Calibri"/>
          <w:b/>
          <w:bCs/>
          <w:color w:val="1F3864"/>
          <w:sz w:val="22"/>
          <w:szCs w:val="22"/>
        </w:rPr>
        <w:t xml:space="preserve">COSA VALUTARE:</w:t>
      </w:r>
    </w:p>
    <w:p>
      <w:pPr>
        <w:pStyle w:val="ListParagraph"/>
        <w:numPr>
          <w:ilvl w:val="0"/>
          <w:numId w:val="2"/>
        </w:numPr>
      </w:pPr>
      <w:r>
        <w:rPr>
          <w:rFonts w:ascii="Calibri" w:cs="Calibri" w:eastAsia="Calibri" w:hAnsi="Calibri"/>
          <w:sz w:val="22"/>
          <w:szCs w:val="22"/>
        </w:rPr>
        <w:t xml:space="preserve">Correttezza giuridica della risposta</w:t>
      </w:r>
    </w:p>
    <w:p>
      <w:pPr>
        <w:pStyle w:val="ListParagraph"/>
        <w:numPr>
          <w:ilvl w:val="0"/>
          <w:numId w:val="2"/>
        </w:numPr>
      </w:pPr>
      <w:r>
        <w:rPr>
          <w:rFonts w:ascii="Calibri" w:cs="Calibri" w:eastAsia="Calibri" w:hAnsi="Calibri"/>
          <w:sz w:val="22"/>
          <w:szCs w:val="22"/>
        </w:rPr>
        <w:t xml:space="preserve">Pertinenza delle fonti normative citate</w:t>
      </w:r>
    </w:p>
    <w:p>
      <w:pPr>
        <w:pStyle w:val="ListParagraph"/>
        <w:numPr>
          <w:ilvl w:val="0"/>
          <w:numId w:val="2"/>
        </w:numPr>
      </w:pPr>
      <w:r>
        <w:rPr>
          <w:rFonts w:ascii="Calibri" w:cs="Calibri" w:eastAsia="Calibri" w:hAnsi="Calibri"/>
          <w:sz w:val="22"/>
          <w:szCs w:val="22"/>
        </w:rPr>
        <w:t xml:space="preserve">Presenza di affermazioni inventate o errate (allucinazioni)</w:t>
      </w:r>
    </w:p>
    <w:p>
      <w:pPr>
        <w:pStyle w:val="ListParagraph"/>
        <w:numPr>
          <w:ilvl w:val="0"/>
          <w:numId w:val="2"/>
        </w:numPr>
      </w:pPr>
      <w:r>
        <w:rPr>
          <w:rFonts w:ascii="Calibri" w:cs="Calibri" w:eastAsia="Calibri" w:hAnsi="Calibri"/>
          <w:sz w:val="22"/>
          <w:szCs w:val="22"/>
        </w:rPr>
        <w:t xml:space="preserve">Norme importanti eventualmente mancanti</w:t>
      </w:r>
    </w:p>
    <w:p>
      <w:pPr>
        <w:spacing w:after="0" w:before="200"/>
      </w:pPr>
    </w:p>
    <w:p>
      <w:r>
        <w:rPr>
          <w:rFonts w:ascii="Calibri" w:cs="Calibri" w:eastAsia="Calibri" w:hAnsi="Calibri"/>
          <w:b/>
          <w:bCs/>
          <w:color w:val="1F3864"/>
          <w:sz w:val="22"/>
          <w:szCs w:val="22"/>
        </w:rPr>
        <w:t xml:space="preserve">COSA NON VALUTARE: </w:t>
      </w:r>
      <w:r>
        <w:rPr>
          <w:rFonts w:ascii="Calibri" w:cs="Calibri" w:eastAsia="Calibri" w:hAnsi="Calibri"/>
          <w:i/>
          <w:iCs/>
          <w:sz w:val="22"/>
          <w:szCs w:val="22"/>
        </w:rPr>
        <w:t xml:space="preserve">stile redazionale, lunghezza, formattazione. Ci interessa esclusivamente l'accuratezza giuridica.</w:t>
      </w:r>
    </w:p>
    <w:p>
      <w:pPr>
        <w:spacing w:after="0" w:before="200"/>
      </w:pPr>
    </w:p>
    <w:p>
      <w:r>
        <w:rPr>
          <w:rFonts w:ascii="Calibri" w:cs="Calibri" w:eastAsia="Calibri" w:hAnsi="Calibri"/>
          <w:b/>
          <w:bCs/>
          <w:sz w:val="22"/>
          <w:szCs w:val="22"/>
        </w:rPr>
        <w:t xml:space="preserve">Termine di restituzione: </w:t>
      </w:r>
      <w:r>
        <w:rPr>
          <w:rFonts w:ascii="Calibri" w:cs="Calibri" w:eastAsia="Calibri" w:hAnsi="Calibri"/>
          <w:sz w:val="22"/>
          <w:szCs w:val="22"/>
        </w:rPr>
        <w:t xml:space="preserve">concordato in videocall.</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6E4F0" w:sz="6"/>
              <w:left w:val="single" w:color="D6E4F0" w:sz="6"/>
              <w:bottom w:val="single" w:color="D6E4F0" w:sz="6"/>
              <w:right w:val="single" w:color="D6E4F0" w:sz="6"/>
            </w:tcBorders>
            <w:shd w:fill="D6E4F0" w:val="clear"/>
            <w:tcMar>
              <w:top w:type="dxa" w:w="120"/>
              <w:left w:type="dxa" w:w="180"/>
              <w:bottom w:type="dxa" w:w="120"/>
              <w:right w:type="dxa" w:w="180"/>
            </w:tcMar>
          </w:tcPr>
          <w:p>
            <w:r>
              <w:rPr>
                <w:rFonts w:ascii="Calibri" w:cs="Calibri" w:eastAsia="Calibri" w:hAnsi="Calibri"/>
                <w:b/>
                <w:bCs/>
                <w:color w:val="1F3864"/>
                <w:sz w:val="20"/>
                <w:szCs w:val="20"/>
              </w:rPr>
              <w:t xml:space="preserve">Nota sul Reviewer automatico: </w:t>
            </w:r>
            <w:r>
              <w:rPr>
                <w:rFonts w:ascii="Calibri" w:cs="Calibri" w:eastAsia="Calibri" w:hAnsi="Calibri"/>
                <w:sz w:val="20"/>
                <w:szCs w:val="20"/>
              </w:rPr>
              <w:t xml:space="preserve">ogni risposta riporta il giudizio del sistema di controllo interno.</w:t>
            </w:r>
          </w:p>
          <w:p>
            <w:r>
              <w:rPr>
                <w:rFonts w:ascii="Calibri" w:cs="Calibri" w:eastAsia="Calibri" w:hAnsi="Calibri"/>
                <w:b/>
                <w:bCs/>
                <w:color w:val="1E5C1E"/>
                <w:sz w:val="19"/>
                <w:szCs w:val="19"/>
              </w:rPr>
              <w:t xml:space="preserve">PASS -&gt; DELIVER  </w:t>
            </w:r>
            <w:r>
              <w:rPr>
                <w:rFonts w:ascii="Calibri" w:cs="Calibri" w:eastAsia="Calibri" w:hAnsi="Calibri"/>
                <w:sz w:val="19"/>
                <w:szCs w:val="19"/>
              </w:rPr>
              <w:t xml:space="preserve">il sistema ha approvato la risposta</w:t>
            </w:r>
          </w:p>
          <w:p>
            <w:r>
              <w:rPr>
                <w:rFonts w:ascii="Calibri" w:cs="Calibri" w:eastAsia="Calibri" w:hAnsi="Calibri"/>
                <w:b/>
                <w:bCs/>
                <w:color w:val="8B0000"/>
                <w:sz w:val="19"/>
                <w:szCs w:val="19"/>
              </w:rPr>
              <w:t xml:space="preserve">FAIL -&gt; RE_RETRIEVAL  </w:t>
            </w:r>
            <w:r>
              <w:rPr>
                <w:rFonts w:ascii="Calibri" w:cs="Calibri" w:eastAsia="Calibri" w:hAnsi="Calibri"/>
                <w:sz w:val="19"/>
                <w:szCs w:val="19"/>
              </w:rPr>
              <w:t xml:space="preserve">il sistema ha rilevato citazioni non verificabili (possibile allucinazione)</w:t>
            </w:r>
          </w:p>
        </w:tc>
      </w:tr>
    </w:tbl>
    <w:p>
      <w:r>
        <w:br w:type="page"/>
      </w:r>
    </w:p>
    <w:p>
      <w:pPr>
        <w:pStyle w:val="Heading1"/>
      </w:pPr>
      <w:r>
        <w:rPr>
          <w:rFonts w:ascii="Calibri" w:cs="Calibri" w:eastAsia="Calibri" w:hAnsi="Calibri"/>
          <w:b/>
          <w:bCs/>
          <w:color w:val="1F3864"/>
          <w:sz w:val="28"/>
          <w:szCs w:val="28"/>
        </w:rPr>
        <w:t xml:space="preserve">Scheda 1 di 10 — Dichiarazione fraudolenta con fatture false</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Facile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 2</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Quali sono gli elementi costitutivi del reato di dichiarazione fraudolenta mediante uso di fatture o altri documenti per operazioni inesistenti ai sensi dell'art. 2 del D.Lgs. 74/2000?</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Il reato di dichiarazione fraudolenta mediante uso di fatture o altri documenti per operazioni inesistenti ai sensi dell'art. 2 del D.Lgs. 74/2000 è costituito dall'utilizzo o la presentazione di dichiarazioni o di documenti falsi o attestanti cose non vere con l'intento di ingannare.</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Il reato di dichiarazione fraudolenta mediante uso di fatture o altri documenti per operazioni inesistenti ai sensi dell'art. 2 del D.Lgs. 74/2000 è regolato dall'articolo 316-ter del Codice Penale.</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menzionate nel Packet che si riferiscano direttamente al reato di dichiarazione fraudolenta mediante uso di fatture o altri documenti per operazioni inesistenti ai sensi dell'art. 2 del D.Lgs. 74/2000.</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del reato di dichiarazione fraudolenta è alta in quanto la norma è chiara e specifica, ma manca una giurisprudenza orientativa.</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C'è un gap nel Packet poiché non ci sono giurisprudenze specifiche menzionate che si riferiscano al reato di dichiarazione fraudolenta mediante uso di fatture o altri documenti per operazioni inesistenti ai sensi dell'art. 2 del D.Lgs. 74/2000.</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MEDIUM   </w:t>
            </w:r>
            <w:r>
              <w:rPr>
                <w:rFonts w:ascii="Calibri" w:cs="Calibri" w:eastAsia="Calibri" w:hAnsi="Calibri"/>
                <w:b/>
                <w:bCs/>
                <w:color w:val="666666"/>
                <w:sz w:val="16"/>
                <w:szCs w:val="16"/>
              </w:rPr>
              <w:t xml:space="preserve">Reviewer: </w:t>
            </w:r>
            <w:r>
              <w:rPr>
                <w:rFonts w:ascii="Calibri" w:cs="Calibri" w:eastAsia="Calibri" w:hAnsi="Calibri"/>
                <w:b/>
                <w:bCs/>
                <w:color w:val="1E5C1E"/>
                <w:sz w:val="16"/>
                <w:szCs w:val="16"/>
              </w:rPr>
              <w:t xml:space="preserve">PASS -&gt; DELIVER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12159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urn:nir:stato:regio.decreto:1930-10-19;1398~art371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2.791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316-ter. ( Indebita percezione di erogazioni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urn:nir:stato:regio.decreto:1930-10-19;1398~art146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2.629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131. (Reato complesso. Procedibilità di uffici...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urn:nir:stato:regio.decreto:1930-10-19;1398~art99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2.506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84. (Reato complesso) Le disposizioni degli ar...</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urn:nir:stato:regio.decreto:1930-10-19;1398~art75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2.014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62. (Circostanze attenuanti comuni) Attenuano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urn:nir:stato:regio.decreto:1930-10-19;1398~art636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0.978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512-bis. (Trasferimento fraudolento di valori)...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urn:nir:stato:decreto.del.presidente.della.repubblica:1973-09-29;600~art64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-0.871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29 settembre 1973, n. 600 Per i redditi d'impresa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urn:nir:stato:regio.decreto:1930-10-19;1398~art217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-1.151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193. (Atti a titolo oneroso compiuti dal colpe...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urn:nir:stato:decreto.legislativo:2019-01-12;14~art329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-1.163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329 Fatti di bancarotta fraudolenta 1. Si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-2.219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49. (Reato supposto erroneamente e reato impos...</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urn:nir:stato:decreto.legislativo:2023-03-31;36~art99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-2.754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31 marzo 2023, n. 36  del codice penale ; 2) bancarotta semplice, banc...</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2 di 10 — Dichiarazione infedele: soglia di punibilita</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Media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 4</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Quali sono le soglie di punibilità previste dall'art. 4 del D.Lgs. 74/2000 per il reato di dichiarazione infedele e come si calcola l'imposta evasa?</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Il reato di dichiarazione infedele è previsto dall'art. 4 del D.Lgs. 74/2000, secondo cui chiunque fa una dichiarazione fiscale falsa o inesatta con intenzione di evadere l'imposta.</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L'art. 4 del D.Lgs. 74/2000 stabilisce che chiunque fa una dichiarazione fiscale falsa o inesatta con intenzione di evadere l'imposta è punibile con la multa.</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sul calcolo dell'imposta evasa per il reato di dichiarazione infedele previsto dall'art. 4 del D.Lgs. 74/2000.</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della solidità della norma è alta, ma manca una specifica indicazione sul calcolo dell'imposta evasa.</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C'è un gap nel Packet in quanto non ci sono informazioni specifiche sul calcolo dell'imposta evasa per il reato di dichiarazione infedele previsto dall'art. 4 del D.Lgs. 74/2000.</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MEDIUM   </w:t>
            </w:r>
            <w:r>
              <w:rPr>
                <w:rFonts w:ascii="Calibri" w:cs="Calibri" w:eastAsia="Calibri" w:hAnsi="Calibri"/>
                <w:b/>
                <w:bCs/>
                <w:color w:val="666666"/>
                <w:sz w:val="16"/>
                <w:szCs w:val="16"/>
              </w:rPr>
              <w:t xml:space="preserve">Reviewer: </w:t>
            </w:r>
            <w:r>
              <w:rPr>
                <w:rFonts w:ascii="Calibri" w:cs="Calibri" w:eastAsia="Calibri" w:hAnsi="Calibri"/>
                <w:b/>
                <w:bCs/>
                <w:color w:val="1E5C1E"/>
                <w:sz w:val="16"/>
                <w:szCs w:val="16"/>
              </w:rPr>
              <w:t xml:space="preserve">PASS -&gt; DELIVER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9717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0.320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44. (Condizione obiettiva di punibilità) Quand...</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-0.347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47. (Errore di fatto) L'errore sul fatto che c...</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urn:nir:stato:regio.decreto:1930-10-19;1398~art143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-0.464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128. (Termine per la richiesta di procedimento...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urn:nir:stato:decreto.legislativo:2015-06-15;81~art40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-1.163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15 giugno 2015, n. 81 Art. 40 Sanzioni 1. La violazione degli obblighi...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urn:nir:stato:regio.decreto:1930-10-19;1398~art587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-2.471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474-ter. (( (Circostanza aggravante). )) ((Se,...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urn:nir:stato:decreto.del.presidente.della.repubblica:1986-12-22;917~art148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-2.806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posta, le sanzioni e gli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urn:nir:stato:legge:1981-11-24;689~art101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-3.176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101 (Nuovo testo degli articoli 24 , 26 , 66 , 78 , 13...</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urn:nir:stato:decreto.legislativo:1992-04-30;285~art6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-3.357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30 aprile 1992, n. 285 124) (145) 14. Chiunque viola gli altri obbligh...</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urn:nir:stato:regio.decreto:1930-10-19;1398~art93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-3.360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78. (Limiti degli aumenti delle pene principal...</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urn:nir:stato:decreto.legislativo:2000-03-10;74~art4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-3.908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10 marzo 2000, n. 74 Art. 4 ((ARTICOLO ABROGATO DAL D.LGS. 5 NOVEMBRE ...</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3 di 10 — Omesso versamento IVA: soglia e termine</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Facile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 10-ter</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 è la soglia di rilevanza penale e il termine entro cui deve avvenire il versamento IVA per evitare il reato di omesso versamento ex art. 10-ter D.Lgs. 74/2000?</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domanda riguarda la soglia di rilevanza penale e il termine entro cui deve avvenire il versamento IVA per evitare il reato di omesso versamento esposto dall'articolo 10-ter D.Lgs. 74/2000.</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domanda non richiede una valutazione specifica della soglia di rilevanza penale, ma si concentra sul termine entro cui deve avvenire il versamento IVA. Tuttavia, la normativa vigente non fornisce una definizione chiara della soglia di rilevanza penale.</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LOW   </w:t>
            </w:r>
            <w:r>
              <w:rPr>
                <w:rFonts w:ascii="Calibri" w:cs="Calibri" w:eastAsia="Calibri" w:hAnsi="Calibri"/>
                <w:b/>
                <w:bCs/>
                <w:color w:val="666666"/>
                <w:sz w:val="16"/>
                <w:szCs w:val="16"/>
              </w:rPr>
              <w:t xml:space="preserve">Reviewer: </w:t>
            </w:r>
            <w:r>
              <w:rPr>
                <w:rFonts w:ascii="Calibri" w:cs="Calibri" w:eastAsia="Calibri" w:hAnsi="Calibri"/>
                <w:b/>
                <w:bCs/>
                <w:color w:val="1E5C1E"/>
                <w:sz w:val="16"/>
                <w:szCs w:val="16"/>
              </w:rPr>
              <w:t xml:space="preserve">PASS -&gt; DELIVER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5471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urn:nir:stato:regio.decreto:1940-10-28;1443~art739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4.547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28 ottobre 1940, n. 1443 Art. 590. (Provvedimento di assegnazione). Se la ve...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urn:nir:stato:regio.decreto:1930-10-19;1398~art18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2.299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14. (Computo e decorrenza dei termini) Quando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urn:nir:stato:decreto.legislativo:2018-08-10;101~art25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1.517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10 agosto 2018, n. 101 io della Repubblica entro il termine di novanta...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urn:nir:stato:decreto.legislativo:2010-07-02;104~art119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1.345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2 luglio 2010, n. 104 peranza aventi ad oggetto il pagamento di somme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urn:nir:stato:regio.decreto:1940-10-28;1443~art734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1.034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28 ottobre 1940, n. 1443 Art. 585. (Versamento del prezzo). L'aggiudicatario...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urn:nir:stato:decreto.legislativo:1997-07-09;241~art31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0.883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9 luglio 1997, n. 241 amento nelle casse erariali deve avvenire da par...</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urn:nir:stato:decreto.legislativo:1997-06-19;218~art14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0.259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19 giugno 1997, n. 218  del contenzioso della direzione regionale o co...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urn:nir:stato:decreto.legislativo:1997-06-19;218~art8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-0.019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19 giugno 1997, n. 218 Art. 8 (Adempimenti successivi). 1. Il versamen...</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urn:nir:stato:regio.decreto:1940-10-28;1443~art636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-0.145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28 ottobre 1940, n. 1443 Art. 494. (( (Pagamento nelle mani dell'ufficiale g...</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urn:nir:stato:decreto.del.presidente.della.repubblica:1972-10-26;633~art96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-0.652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26 ottobre 1972, n. 633 Art. 54-bis.1 (( (Liquidaz...</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4 di 10 — Indebita compensazione con crediti non spettanti</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Media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 10-quater</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 è la differenza tra crediti inesistenti e crediti non spettanti nella fattispecie di indebita compensazione ex art. 10-quater D.Lgs. 74/2000 e quali sono le rispettive soglie di punibilità?</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Nella fattispecie si tratta di determinare la differenza tra crediti inesistenti e crediti non spettanti, entrambi rilevanti per l'indebita compensazione espressa dall'articolo 10-quater D.Lgs. 74/2000.</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Per la determinazione della differenza tra crediti inesistenti e non spettanti, si riferiscono all'articolo 1824 del Codice Civile (crediti non spettanti) e all'articolo 332 del Decreti Legislativo 12/01/2019 n. 14 (punibilità per crediti inesistenti).</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che si riferiscano espressamente a questa differenza tra crediti inesistenti e non spettanti. Tuttavia, la giurisprudenza tende a interpretare i concetti in base alla natura del credito e al suo stato effettivo.</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è alta in quanto i concetti sono chiaramente definiti dalla normativa, ma la mancanza di giurisprudenze specifiche introduce una certa incertezza.</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Il Packet non contiene giurisprudenze specifiche che esplorano la differenza tra crediti inesistenti e non spettanti. Ciò introduce una certa incertezza nella valutazione.</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MEDIUM   </w:t>
            </w:r>
            <w:r>
              <w:rPr>
                <w:rFonts w:ascii="Calibri" w:cs="Calibri" w:eastAsia="Calibri" w:hAnsi="Calibri"/>
                <w:b/>
                <w:bCs/>
                <w:color w:val="666666"/>
                <w:sz w:val="16"/>
                <w:szCs w:val="16"/>
              </w:rPr>
              <w:t xml:space="preserve">Reviewer: </w:t>
            </w:r>
            <w:r>
              <w:rPr>
                <w:rFonts w:ascii="Calibri" w:cs="Calibri" w:eastAsia="Calibri" w:hAnsi="Calibri"/>
                <w:b/>
                <w:bCs/>
                <w:color w:val="8B0000"/>
                <w:sz w:val="16"/>
                <w:szCs w:val="16"/>
              </w:rPr>
              <w:t xml:space="preserve">FAIL -&gt; RE_RETRIEVAL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25179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urn:nir:stato:decreto.del.presidente.della.repubblica:1973-09-29;600~art63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3.649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29 settembre 1973, n. 600 Art. 38-bis (Atti di rec...</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urn:nir:stato:decreto.del.presidente.della.repubblica:1973-09-29;600~art63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3.227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29 settembre 1973, n. 600 ) l'atto di cui alla let...</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urn:nir:stato:regio.decreto:1942-03-16;262~art1888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1.806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16 marzo 1942, n. 262 Art. 1824. (Crediti esclusi dal conto corrente). Sono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urn:nir:stato:decreto.legislativo:2019-01-12;14~art332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1.412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332 Denuncia di crediti inesistenti 1. Si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urn:nir:stato:decreto.legislativo:2019-01-12;14~art268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1.024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creditori, anche mediante l'esercizio di azion...</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urn:nir:stato:regio.decreto:1942-03-16;262~art1252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0.399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16 marzo 1942, n. 262 Art. 1207. (Effetti). Quando il creditore è in mora, è...</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urn:nir:stato:legge:2000-07-27;212~art8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-0.187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27 luglio 2000, n. 212  della compensazione dei crediti, ai sensi del comma 1 del pr...</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urn:nir:stato:decreto.legislativo:2019-01-12;14~art156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-0.254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156 Crediti infruttiferi 1. I crediti infr...</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urn:nir:stato:regio.decreto:1940-10-28;1443~art633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-0.333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28 ottobre 1940, n. 1443 552 e 569, la relativa istanza unitamente ad una so...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-1.085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6 (Prededucibilità dei crediti) 1. Oltre a...</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5 di 10 — Cause di non punibilita: ravvedimento operoso</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Media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artt. 13-13-bis</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Quando il ravvedimento operoso e il pagamento del debito tributario costituiscono causa di non punibilità dei reati tributari ai sensi degli artt. 13 e 13-bis del D.Lgs. 74/2000?</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domanda riguarda la non punibilità dei reati tributari ai sensi degli artt. 13 e 13-bis del D.Lgs. 74/2000 quando il ravvedimento operoso e il pagamento del debito tributario sono presenti.</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Il D.Lgs. 74/2000 articoli 13 e 13-bis stabiliscono le condizioni per la non punibilità dei reati tributari.</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esistono giurisprudenze specifiche che si riferiscano direttamente all'articolo 13 e 13-bis del D.Lgs. 74/2000 in relazione al ravvedimento operoso e il pagamento del debito tributario.</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La valutazione della solidità delle norme è alta in quanto si tratta di disposizioni chiare e specifiche del D.Lgs. 74/2000.</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Il Packet manca di giurisprudenze che potrebbero fornire ulteriori orientamenti su come interpretare e applicare le disposizioni degli artt. 13 e 13-bis del D.Lgs. 74/2000 in relazione al ravvedimento operoso e il pagamento del debito tributario.</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HIGH   </w:t>
            </w:r>
            <w:r>
              <w:rPr>
                <w:rFonts w:ascii="Calibri" w:cs="Calibri" w:eastAsia="Calibri" w:hAnsi="Calibri"/>
                <w:b/>
                <w:bCs/>
                <w:color w:val="666666"/>
                <w:sz w:val="16"/>
                <w:szCs w:val="16"/>
              </w:rPr>
              <w:t xml:space="preserve">Reviewer: </w:t>
            </w:r>
            <w:r>
              <w:rPr>
                <w:rFonts w:ascii="Calibri" w:cs="Calibri" w:eastAsia="Calibri" w:hAnsi="Calibri"/>
                <w:b/>
                <w:bCs/>
                <w:color w:val="1E5C1E"/>
                <w:sz w:val="16"/>
                <w:szCs w:val="16"/>
              </w:rPr>
              <w:t xml:space="preserve">PASS -&gt; DELIVER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30349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urn:nir:stato:decreto.legislativo:2019-01-12;14~art88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0.589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88 (( (Trattamento dei crediti tributari 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urn:nir:stato:legge:1981-11-24;689~art27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-0.420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27 (Esecuzione forzata) Salvo quanto disposto nell'ult...</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urn:nir:stato:decreto.legislativo:2000-08-18;267~art45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-0.421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18 agosto 2000, n. 267 art. 1, comma 13) che "Gli enti locali che non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urn:nir:stato:decreto.legislativo:2023-03-31;36~art403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-0.994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31 marzo 2023, n. 36 Allegato II.10 Violazioni gravi degli obblighi re...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urn:nir:stato:decreto.legislativo:1997-06-19;218~art17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-1.687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19 giugno 1997, n. 218 . 600 (Disposizioni comuni in materia di accert...</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urn:nir:stato:legge:2000-07-27;212~art8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-1.821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27 luglio 2000, n. 212 Art. 8 Tutela dell'integrità patrimoniale 1. L'obbligazione t...</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urn:nir:stato:decreto.del.presidente.della.repubblica:1988-09-22;447~art220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-1.836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186 Inosservanza di...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urn:nir:stato:decreto.legislativo:2023-03-31;36~art96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-2.129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31 marzo 2023, n. 36 avi violazioni non definitivamente accertate agli...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urn:nir:stato:legge:1981-11-24;689~art33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-2.264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33 (Altri casi di depenalizzazione) Non costituiscono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urn:nir:stato:legge:2000-07-27;212~art6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-3.424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27 luglio 2000, n. 212  tributi per i quali il contribuente non è tenuto ad effettua...</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6 di 10 — Confisca per equivalente in materia tributaria</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Difficile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art. 12-bis</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Quali sono i presupposti e il regime della confisca obbligatoria per equivalente nei reati tributari ai sensi dell'art. 12-bis D.Lgs. 74/2000 e quali beni possono essere aggrediti?</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domanda riguarda i presupposti e il regime della confisca obbligatoria per equivalente nei reati tributari ai sensi dell'art. 12-bis D.Lgs. 74/2000.</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Il regime della confisca obbligatoria per equivalente nei reati tributari è regolato dall'art. 12-bis D.Lgs. 74/2000.</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è presente giurisprudenza specifica sulla confisca obbligatoria per equivalente nei reati tributari. Tuttavia, la giurisprudenza tende a interpretare le norme di confisca in modo coerente con il principio della proporzionalità.</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del regime della confisca obbligatoria per equivalente nei reati tributari è alta, in quanto la norma è chiara e specifica.</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Non sono presenti fonti specifiche che trattino direttamente la confisca obbligatoria per equivalente nei reati tributari. Tuttavia, le norme di confisca generali (come quelle del Codice Penale) potrebbero fornire ulteriori informazioni.</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HIGH   </w:t>
            </w:r>
            <w:r>
              <w:rPr>
                <w:rFonts w:ascii="Calibri" w:cs="Calibri" w:eastAsia="Calibri" w:hAnsi="Calibri"/>
                <w:b/>
                <w:bCs/>
                <w:color w:val="666666"/>
                <w:sz w:val="16"/>
                <w:szCs w:val="16"/>
              </w:rPr>
              <w:t xml:space="preserve">Reviewer: </w:t>
            </w:r>
            <w:r>
              <w:rPr>
                <w:rFonts w:ascii="Calibri" w:cs="Calibri" w:eastAsia="Calibri" w:hAnsi="Calibri"/>
                <w:b/>
                <w:bCs/>
                <w:color w:val="8B0000"/>
                <w:sz w:val="16"/>
                <w:szCs w:val="16"/>
              </w:rPr>
              <w:t xml:space="preserve">FAIL -&gt; RE_RETRIEVAL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31139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urn:nir:stato:regio.decreto:1930-10-19;1398~art796</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2.411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603-bis.2 (( (Confisca obbligatoria).)) ((In c...</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urn:nir:stato:regio.decreto:1930-10-19;1398~art505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1.697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enti sono aumentate da un terzo alla metà. Nei conf...</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urn:nir:stato:legge:2019-04-26;36~art9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0.896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26 aprile 2019, n. 36 320 , 321 e 322-bis del codice penale ; f-bis) ai processi nei...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urn:nir:stato:decreto.legislativo:2001-06-08;231~art19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0.503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19 Confisca 1. Nei confronti dell'ente è se...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urn:nir:stato:regio.decreto:1930-10-19;1398~art319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0.427</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275-octies (( (Confisca obbligatoria). )) .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urn:nir:stato:regio.decreto:1942-03-16;262~art2859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-0.025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16 marzo 1942, n. 262 Art. 2641. (Confisca). In caso di condanna o di applic...</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urn:nir:stato:regio.decreto:1930-10-19;1398~art543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-0.108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446. (Confisca obbligatoria). In caso di conda...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urn:nir:stato:decreto.del.presidente.della.repubblica:1988-09-22;447~art787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-0.349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737-bis (Indagini 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urn:nir:stato:regio.decreto:1930-10-19;1398~art518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-0.861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423-quater. (Confisca). Nel caso di condanna 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urn:nir:stato:decreto.legislativo:1998-07-25;286~art12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-0.926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25 luglio 1998, n. 286 aro confiscate a seguito di condanna per uno de...</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7 di 10 — Responsabilita degli enti per reati tributari</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Difficile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231/2001 art. 25-quinquiesdecies</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Quando una societa risponde ai sensi del D.Lgs. 231/2001 per i reati tributari commessi nel suo interesse o vantaggio da soggetti apicali o sottoposti? Quali reati sono presupposto e quali sanzioni si applicano ex art. 25-quinquiesdecies?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società risponde ai sensi del D.Lgs. 231/2001 per i reati tributari commessi nel suo interesse o vantaggio da soggetti apicali o sottoposti.</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La norma applicabile è l'articolo 5 del D.Lgs. 231/2001.</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menzionate nel Packet che si riferiscano espressamente all'applicazione dell'articolo 5 del D.Lgs. 231/2001.</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della solidità della norma è alta, in quanto si tratta di una disposizione chiara e specifica del D.Lgs. 231/2001.</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Non ci sono gap nel Packet per quanto riguarda la normativa applicabile all'articolo 5 del D.Lgs. 231/2001.</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HIGH   </w:t>
            </w:r>
            <w:r>
              <w:rPr>
                <w:rFonts w:ascii="Calibri" w:cs="Calibri" w:eastAsia="Calibri" w:hAnsi="Calibri"/>
                <w:b/>
                <w:bCs/>
                <w:color w:val="666666"/>
                <w:sz w:val="16"/>
                <w:szCs w:val="16"/>
              </w:rPr>
              <w:t xml:space="preserve">Reviewer: </w:t>
            </w:r>
            <w:r>
              <w:rPr>
                <w:rFonts w:ascii="Calibri" w:cs="Calibri" w:eastAsia="Calibri" w:hAnsi="Calibri"/>
                <w:b/>
                <w:bCs/>
                <w:color w:val="1E5C1E"/>
                <w:sz w:val="16"/>
                <w:szCs w:val="16"/>
              </w:rPr>
              <w:t xml:space="preserve">PASS -&gt; DELIVER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20743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urn:nir:stato:decreto.legislativo:2001-06-08;231~art13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2.968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13 Sanzioni interdittive 1. Le sanzioni int...</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urn:nir:stato:decreto.legislativo:2001-06-08;231~art21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2.183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21 Pluralità di illeciti 1. Quando l'ente è...</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-0.015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4 Reati commessi all'estero 1. Nei casi e 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-0.220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5 Responsabilità dell'ente 1. L'ente è resp...</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urn:nir:stato:decreto.legislativo:2001-06-08;231~art17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-0.631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17 Riparazione delle conseguenze del reato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-0.719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ativa delle persone giuridiche e delle società 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urn:nir:stato:legge:2000-07-27;212~art11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-1.256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27 luglio 2000, n. 212 Art. 11 (Interpello) 1. Il contribuente può interpellare l'am...</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urn:nir:stato:decreto.legislativo:2001-06-08;231~art27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-1.452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27 Responsabilità patrimoniale dell'ente 1....</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urn:nir:stato:decreto.legislativo:2001-06-08;231~art1</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-1.588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esse o a vantaggio del quale è stata commessa la...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urn:nir:stato:decreto.legislativo:2001-06-08;231~art29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-1.599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29 Fusione dell'ente 1. Nel caso di fusione...</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8 di 10 — Cumulo sanzioni amministrative e penali (ne bis in idem)</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Difficile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472/1997 + D.Lgs. 74/2000 art. 19</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Come si coordinano le sanzioni amministrative tributarie e le sanzioni penali per i reati tributari? Quando opera il principio di specialita ex art. 19 D.Lgs. 74/2000 e quando invece si applica il cumulo con le sanzioni del D.Lgs. 472/1997?</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domanda riguarda la coordinazione tra le sanzioni amministrative tributarie e le sanzioni penali per i reati tributari, specificando quando si applica il principio di specialità es art. 19 D.Lgs. 74/2000 e quando si utilizza il cumulo con le sanzioni del D.Lgs. 472/1997.</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Il principio di specialità es art. 19 D.Lgs. 74/2000 e il cumulo previsto dal D.Lgs. 472/1997 sono le norme chiave per la coordinazione tra sanzioni amministrative tributarie e sanzioni penali.</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menzionate nel Packet che affrontano direttamente la coordinazione tra le sanzioni amministrative tributarie e le sanzioni penali per i reati tributari. Tuttavia, si può riferirsi a precedenti generali sul principio di specialità.</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La solidità della valutazione è MEDIA. Le norme esistenti sono chiare sul principio di specialità, ma non ci sono giurisprudenze specifiche nel Packet per confermare l'applicazione del cumulo.</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Il Packet manca di giurisprudenze specifiche che affrontano la coordinazione tra le sanzioni amministrative tributarie e le sanzioni penali per i reati tributari.</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MEDIUM   </w:t>
            </w:r>
            <w:r>
              <w:rPr>
                <w:rFonts w:ascii="Calibri" w:cs="Calibri" w:eastAsia="Calibri" w:hAnsi="Calibri"/>
                <w:b/>
                <w:bCs/>
                <w:color w:val="666666"/>
                <w:sz w:val="16"/>
                <w:szCs w:val="16"/>
              </w:rPr>
              <w:t xml:space="preserve">Reviewer: </w:t>
            </w:r>
            <w:r>
              <w:rPr>
                <w:rFonts w:ascii="Calibri" w:cs="Calibri" w:eastAsia="Calibri" w:hAnsi="Calibri"/>
                <w:b/>
                <w:bCs/>
                <w:color w:val="8B0000"/>
                <w:sz w:val="16"/>
                <w:szCs w:val="16"/>
              </w:rPr>
              <w:t xml:space="preserve">FAIL -&gt; RE_RETRIEVAL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43609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urn:nir:stato:legge:1981-11-24;689~art114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5.364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114 (Aumento delle sanzioni amministrative pecuniarie)...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urn:nir:stato:legge:1981-11-24;689~art20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4.202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20 (Sanzioni amministrative accessorie) L'autorità amm...</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urn:nir:stato:decreto.legislativo:2018-08-10;101~art24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4.106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10 agosto 2018, n. 101 Art. 24 Applicabilità delle sanzioni amministra...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urn:nir:stato:decreto.legislativo:1992-04-30;285~art210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3.115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30 aprile 1992, n. 285 Art. 210 Sanzioni amministrative accessorie a s...</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urn:nir:stato:decreto.legislativo:2005-09-07;209~art325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2.989</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7 settembre 2005, n. 209 Art. 325 Destinatari delle sanzioni amministr...</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urn:nir:stato:decreto.legislativo:1992-04-30;285~art222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2.802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30 aprile 1992, n. 285 Art. 222 Sanzioni amministrative accessorie all...</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urn:nir:stato:decreto.legislativo:2001-06-08;231~art34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2.706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34 Disposizioni processuali applicabili 1.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urn:nir:stato:legge:1981-11-24;689~art9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2.516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LEGGE 24 novembre 1981, n. 689 Art. 9 Principio di specialit Quando uno stesso fatto è pun...</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urn:nir:stato:decreto.legislativo:2006-04-03;152~art140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2.254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3 aprile 2006, n. 152 Art. 140 (circostanza attenuante) 1. Nei confron...</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urn:nir:stato:decreto.legislativo:1997-06-19;218~art14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2.215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19 giugno 1997, n. 218  caso di avvenuta conciliazione le sanzioni amm...</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9 di 10 — Sequestro preventivo: presupposti in reato tributario</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Penale Tributario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Media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D.Lgs. 74/2000 + c.p.p.</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Quali sono i presupposti per disporre il sequestro preventivo finalizzato alla confisca in un procedimento per reato tributario? Quale e il rapporto tra sequestro penale e misure cautelari fiscali?</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Il sequestro preventivo finalizzato alla confisca può essere disposto in un procedimento per reato tributario quando vi è pericolo che la libera disponibilità di una cosa pertinente al reato possa aggravare o protrarre le conseguenze di esso ovvero agevolare la commissione di altri reati.</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Il sequestro preventivo finalizzato alla confisca è regolato dall'articolo 321 del codice di procedura penale.</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specifiche giurisprudenze che si riferiscano espressamente al sequestro preventivo in un procedimento per reato tributario. Tuttavia, la giurisprudenza tende a interpretare le norme di carattere penale anche nei contesti fiscali.</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valutazione della solidità delle norme applicabili è alta, in quanto sono chiaramente definite e non ci sono contrasti giurisprudenziali specifici.</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Non ci sono specifiche giurisprudenze che si riferiscano al sequestro preventivo in un procedimento per reato tributario. Ciò potrebbe rappresentare una lacuna nel Packet.</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HIGH   </w:t>
            </w:r>
            <w:r>
              <w:rPr>
                <w:rFonts w:ascii="Calibri" w:cs="Calibri" w:eastAsia="Calibri" w:hAnsi="Calibri"/>
                <w:b/>
                <w:bCs/>
                <w:color w:val="666666"/>
                <w:sz w:val="16"/>
                <w:szCs w:val="16"/>
              </w:rPr>
              <w:t xml:space="preserve">Reviewer: </w:t>
            </w:r>
            <w:r>
              <w:rPr>
                <w:rFonts w:ascii="Calibri" w:cs="Calibri" w:eastAsia="Calibri" w:hAnsi="Calibri"/>
                <w:b/>
                <w:bCs/>
                <w:color w:val="8B0000"/>
                <w:sz w:val="16"/>
                <w:szCs w:val="16"/>
              </w:rPr>
              <w:t xml:space="preserve">FAIL -&gt; RE_RETRIEVAL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31784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urn:nir:stato:decreto.legislativo:2001-06-08;231~art53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3.744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8 giugno 2001, n. 231 Art. 53 Sequestro preventivo 1. Il giudice può d...</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urn:nir:stato:decreto.del.presidente.della.repubblica:1988-09-22;447~art382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3.741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322 Riesame del dec...</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urn:nir:stato:decreto.legislativo:2019-01-12;14~art318</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3.048</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318 Sequestro preventivo 1. In pendenza de...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urn:nir:stato:decreto.del.presidente.della.repubblica:1988-09-22;447~art384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1.906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323 Perdita di effi...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urn:nir:stato:decreto.del.presidente.della.repubblica:1988-09-22;447~art320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1.636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270 Utilizzazione 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urn:nir:stato:decreto.del.presidente.della.repubblica:1988-09-22;447~art380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1.522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321 Oggetto del seq...</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urn:nir:stato:regio.decreto:1930-10-19;1398~art400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1.036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REGIO DECRETO 19 ottobre 1930, n. 1398 Art. 335. (( (Violazione colposa di doveri inerenti...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urn:nir:stato:decreto.del.presidente.della.repubblica:1988-09-22;447~art787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0.893</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737-bis (Indagini 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urn:nir:stato:decreto.del.presidente.della.repubblica:1988-09-22;447~art294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0.831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settembre 1988, n. 447 Art. 253 Oggetto e forma...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urn:nir:stato:decreto.legislativo:2019-01-12;14~art319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0.505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12 gennaio 2019, n. 14 Art. 319 Sequestro conservativo 1. In pendenza ...</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r>
        <w:br w:type="page"/>
      </w:r>
    </w:p>
    <w:p>
      <w:pPr>
        <w:pStyle w:val="Heading1"/>
      </w:pPr>
      <w:r>
        <w:rPr>
          <w:rFonts w:ascii="Calibri" w:cs="Calibri" w:eastAsia="Calibri" w:hAnsi="Calibri"/>
          <w:b/>
          <w:bCs/>
          <w:color w:val="1F3864"/>
          <w:sz w:val="28"/>
          <w:szCs w:val="28"/>
        </w:rPr>
        <w:t xml:space="preserve">Scheda 10 di 10 — Base imponibile TUIR e dichiarazione infedele [CROSS]</w:t>
      </w:r>
    </w:p>
    <w:p>
      <w:pPr>
        <w:shd w:fill="D6E4F0" w:val="clear"/>
        <w:spacing w:after="200" w:before="80"/>
        <w:ind w:left="100"/>
      </w:pPr>
      <w:r>
        <w:rPr>
          <w:rFonts w:ascii="Calibri" w:cs="Calibri" w:eastAsia="Calibri" w:hAnsi="Calibri"/>
          <w:b/>
          <w:bCs/>
          <w:color w:val="1F3864"/>
          <w:sz w:val="18"/>
          <w:szCs w:val="18"/>
        </w:rPr>
        <w:t xml:space="preserve">Modulo: </w:t>
      </w:r>
      <w:r>
        <w:rPr>
          <w:rFonts w:ascii="Calibri" w:cs="Calibri" w:eastAsia="Calibri" w:hAnsi="Calibri"/>
          <w:color w:val="444444"/>
          <w:sz w:val="18"/>
          <w:szCs w:val="18"/>
        </w:rPr>
        <w:t xml:space="preserve">Cross (Penale Tributario + Fiscale)   </w:t>
      </w:r>
      <w:r>
        <w:rPr>
          <w:rFonts w:ascii="Calibri" w:cs="Calibri" w:eastAsia="Calibri" w:hAnsi="Calibri"/>
          <w:b/>
          <w:bCs/>
          <w:color w:val="1F3864"/>
          <w:sz w:val="18"/>
          <w:szCs w:val="18"/>
        </w:rPr>
        <w:t xml:space="preserve">Difficolta: </w:t>
      </w:r>
      <w:r>
        <w:rPr>
          <w:rFonts w:ascii="Calibri" w:cs="Calibri" w:eastAsia="Calibri" w:hAnsi="Calibri"/>
          <w:color w:val="444444"/>
          <w:sz w:val="18"/>
          <w:szCs w:val="18"/>
        </w:rPr>
        <w:t xml:space="preserve">Difficile   </w:t>
      </w:r>
      <w:r>
        <w:rPr>
          <w:rFonts w:ascii="Calibri" w:cs="Calibri" w:eastAsia="Calibri" w:hAnsi="Calibri"/>
          <w:b/>
          <w:bCs/>
          <w:color w:val="1F3864"/>
          <w:sz w:val="18"/>
          <w:szCs w:val="18"/>
        </w:rPr>
        <w:t xml:space="preserve">Norma cardine: </w:t>
      </w:r>
      <w:r>
        <w:rPr>
          <w:rFonts w:ascii="Calibri" w:cs="Calibri" w:eastAsia="Calibri" w:hAnsi="Calibri"/>
          <w:color w:val="444444"/>
          <w:sz w:val="18"/>
          <w:szCs w:val="18"/>
        </w:rPr>
        <w:t xml:space="preserve">TUIR DPR 917/1986 + D.Lgs. 74/2000 art. 4</w:t>
      </w:r>
    </w:p>
    <w:p>
      <w:pPr>
        <w:pBdr>
          <w:bottom w:val="single" w:color="D6E4F0" w:sz="4" w:space="4"/>
        </w:pBdr>
        <w:spacing w:after="80" w:before="180"/>
      </w:pPr>
      <w:r>
        <w:rPr>
          <w:rFonts w:ascii="Calibri" w:cs="Calibri" w:eastAsia="Calibri" w:hAnsi="Calibri"/>
          <w:b/>
          <w:bCs/>
          <w:color w:val="1F3864"/>
          <w:sz w:val="20"/>
          <w:szCs w:val="20"/>
        </w:rPr>
        <w:t xml:space="preserve">Scenario (query sottoposta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1F3864" w:sz="6"/>
              <w:bottom w:val="none"/>
              <w:right w:val="none"/>
            </w:tcBorders>
            <w:shd w:fill="F5F8FF" w:val="clear"/>
            <w:tcMar>
              <w:top w:type="dxa" w:w="100"/>
              <w:left w:type="dxa" w:w="200"/>
              <w:bottom w:type="dxa" w:w="100"/>
              <w:right w:type="dxa" w:w="100"/>
            </w:tcMar>
          </w:tcPr>
          <w:p>
            <w:r>
              <w:rPr>
                <w:rFonts w:ascii="Calibri" w:cs="Calibri" w:eastAsia="Calibri" w:hAnsi="Calibri"/>
                <w:i/>
                <w:iCs/>
                <w:color w:val="333333"/>
                <w:sz w:val="20"/>
                <w:szCs w:val="20"/>
              </w:rPr>
              <w:t xml:space="preserve">Come si determina la base imponibile IRPEF/IRES ai fini del calcolo dell'imposta evasa nel reato di dichiarazione infedele ex art. 4 D.Lgs. 74/2000? Quali componenti reddituali del TUIR rilevano per la soglia di punibilita?</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Risposta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8F8F8" w:val="clear"/>
            <w:tcMar>
              <w:top w:type="dxa" w:w="120"/>
              <w:left w:type="dxa" w:w="180"/>
              <w:bottom w:type="dxa" w:w="80"/>
              <w:right w:type="dxa" w:w="180"/>
            </w:tcMar>
          </w:tcPr>
          <w:p>
            <w:pPr>
              <w:shd w:fill="F8F8F8" w:val="clear"/>
              <w:spacing w:after="40" w:before="40"/>
            </w:pPr>
            <w:r>
              <w:rPr>
                <w:rFonts w:ascii="Calibri" w:cs="Calibri" w:eastAsia="Calibri" w:hAnsi="Calibri"/>
                <w:b/>
                <w:bCs/>
                <w:sz w:val="20"/>
                <w:szCs w:val="20"/>
              </w:rPr>
              <w:t xml:space="preserve">QUALIFICAZIONE</w:t>
            </w:r>
          </w:p>
          <w:p>
            <w:pPr>
              <w:shd w:fill="F8F8F8" w:val="clear"/>
              <w:spacing w:after="40" w:before="40"/>
            </w:pPr>
            <w:r>
              <w:rPr>
                <w:rFonts w:ascii="Calibri" w:cs="Calibri" w:eastAsia="Calibri" w:hAnsi="Calibri"/>
                <w:b w:val="false"/>
                <w:bCs w:val="false"/>
                <w:sz w:val="20"/>
                <w:szCs w:val="20"/>
              </w:rPr>
              <w:t xml:space="preserve">La base imponibile IRPEF/IRES ai fini del calcolo dell'imposta evasa nel reato di dichiarazione infedele ex art. 4 D.Lgs. 74/2000 si determina in base alle norme relative all'IRPEF e IRES.</w:t>
            </w:r>
          </w:p>
          <w:p>
            <w:pPr>
              <w:shd w:fill="F8F8F8" w:val="clear"/>
              <w:spacing w:after="40" w:before="40"/>
            </w:pPr>
            <w:r>
              <w:rPr>
                <w:rFonts w:ascii="Calibri" w:cs="Calibri" w:eastAsia="Calibri" w:hAnsi="Calibri"/>
                <w:b/>
                <w:bCs/>
                <w:sz w:val="20"/>
                <w:szCs w:val="20"/>
              </w:rPr>
              <w:t xml:space="preserve">NORMA APPLICABILE</w:t>
            </w:r>
          </w:p>
          <w:p>
            <w:pPr>
              <w:shd w:fill="F8F8F8" w:val="clear"/>
              <w:spacing w:after="40" w:before="40"/>
            </w:pPr>
            <w:r>
              <w:rPr>
                <w:rFonts w:ascii="Calibri" w:cs="Calibri" w:eastAsia="Calibri" w:hAnsi="Calibri"/>
                <w:b w:val="false"/>
                <w:bCs w:val="false"/>
                <w:sz w:val="20"/>
                <w:szCs w:val="20"/>
              </w:rPr>
              <w:t xml:space="preserve">La norma applicabile per la determinazione della base imponibile IRPEF/IRES è il D.Lgs. 241/1997, articolo 14.</w:t>
            </w:r>
          </w:p>
          <w:p>
            <w:pPr>
              <w:shd w:fill="F8F8F8" w:val="clear"/>
              <w:spacing w:after="40" w:before="40"/>
            </w:pPr>
            <w:r>
              <w:rPr>
                <w:rFonts w:ascii="Calibri" w:cs="Calibri" w:eastAsia="Calibri" w:hAnsi="Calibri"/>
                <w:b/>
                <w:bCs/>
                <w:sz w:val="20"/>
                <w:szCs w:val="20"/>
              </w:rPr>
              <w:t xml:space="preserve">GIURISPRUDENZA</w:t>
            </w:r>
          </w:p>
          <w:p>
            <w:pPr>
              <w:shd w:fill="F8F8F8" w:val="clear"/>
              <w:spacing w:after="40" w:before="40"/>
            </w:pPr>
            <w:r>
              <w:rPr>
                <w:rFonts w:ascii="Calibri" w:cs="Calibri" w:eastAsia="Calibri" w:hAnsi="Calibri"/>
                <w:b w:val="false"/>
                <w:bCs w:val="false"/>
                <w:sz w:val="20"/>
                <w:szCs w:val="20"/>
              </w:rPr>
              <w:t xml:space="preserve">Non ci sono giurisprudenze specifiche per la determinazione della base imponibile IRPEF/IRES in relazione al reato di dichiarazione infedele ex art. 4 D.Lgs. 74/2000.</w:t>
            </w:r>
          </w:p>
          <w:p>
            <w:pPr>
              <w:shd w:fill="F8F8F8" w:val="clear"/>
              <w:spacing w:after="40" w:before="40"/>
            </w:pPr>
            <w:r>
              <w:rPr>
                <w:rFonts w:ascii="Calibri" w:cs="Calibri" w:eastAsia="Calibri" w:hAnsi="Calibri"/>
                <w:b/>
                <w:bCs/>
                <w:sz w:val="20"/>
                <w:szCs w:val="20"/>
              </w:rPr>
              <w:t xml:space="preserve">VALUTAZIONE</w:t>
            </w:r>
          </w:p>
          <w:p>
            <w:pPr>
              <w:shd w:fill="F8F8F8" w:val="clear"/>
              <w:spacing w:after="40" w:before="40"/>
            </w:pPr>
            <w:r>
              <w:rPr>
                <w:rFonts w:ascii="Calibri" w:cs="Calibri" w:eastAsia="Calibri" w:hAnsi="Calibri"/>
                <w:b w:val="false"/>
                <w:bCs w:val="false"/>
                <w:sz w:val="20"/>
                <w:szCs w:val="20"/>
              </w:rPr>
              <w:t xml:space="preserve">VALUTAZIONE PERSONALE: La normativa è chiara e specifica, ma la mancanza di giurisprudenza potrebbe rendere il caso più incerto.</w:t>
            </w:r>
          </w:p>
          <w:p>
            <w:pPr>
              <w:shd w:fill="F8F8F8" w:val="clear"/>
              <w:spacing w:after="40" w:before="40"/>
            </w:pPr>
            <w:r>
              <w:rPr>
                <w:rFonts w:ascii="Calibri" w:cs="Calibri" w:eastAsia="Calibri" w:hAnsi="Calibri"/>
                <w:b/>
                <w:bCs/>
                <w:sz w:val="20"/>
                <w:szCs w:val="20"/>
              </w:rPr>
              <w:t xml:space="preserve">GAP ANALYSIS</w:t>
            </w:r>
          </w:p>
          <w:p>
            <w:pPr>
              <w:shd w:fill="F8F8F8" w:val="clear"/>
              <w:spacing w:after="40" w:before="40"/>
            </w:pPr>
            <w:r>
              <w:rPr>
                <w:rFonts w:ascii="Calibri" w:cs="Calibri" w:eastAsia="Calibri" w:hAnsi="Calibri"/>
                <w:b w:val="false"/>
                <w:bCs w:val="false"/>
                <w:sz w:val="20"/>
                <w:szCs w:val="20"/>
              </w:rPr>
              <w:t xml:space="preserve">Il Packet manca di giurisprudenze relative alla determinazione della base imponibile IRPEF/IRES in relazione al reato di dichiarazione infedele ex art. 4 D.Lgs. 74/2000.</w:t>
            </w:r>
          </w:p>
          <w:p>
            <w:pPr>
              <w:pBdr>
                <w:top w:val="single" w:color="DDDDDD" w:sz="2" w:space="4"/>
              </w:pBdr>
              <w:spacing w:after="0" w:before="120"/>
            </w:pPr>
            <w:r>
              <w:rPr>
                <w:rFonts w:ascii="Calibri" w:cs="Calibri" w:eastAsia="Calibri" w:hAnsi="Calibri"/>
                <w:b/>
                <w:bCs/>
                <w:color w:val="666666"/>
                <w:sz w:val="16"/>
                <w:szCs w:val="16"/>
              </w:rPr>
              <w:t xml:space="preserve">Confidenza: </w:t>
            </w:r>
            <w:r>
              <w:rPr>
                <w:rFonts w:ascii="Calibri" w:cs="Calibri" w:eastAsia="Calibri" w:hAnsi="Calibri"/>
                <w:color w:val="666666"/>
                <w:sz w:val="16"/>
                <w:szCs w:val="16"/>
              </w:rPr>
              <w:t xml:space="preserve">MEDIUM   </w:t>
            </w:r>
            <w:r>
              <w:rPr>
                <w:rFonts w:ascii="Calibri" w:cs="Calibri" w:eastAsia="Calibri" w:hAnsi="Calibri"/>
                <w:b/>
                <w:bCs/>
                <w:color w:val="666666"/>
                <w:sz w:val="16"/>
                <w:szCs w:val="16"/>
              </w:rPr>
              <w:t xml:space="preserve">Reviewer: </w:t>
            </w:r>
            <w:r>
              <w:rPr>
                <w:rFonts w:ascii="Calibri" w:cs="Calibri" w:eastAsia="Calibri" w:hAnsi="Calibri"/>
                <w:b/>
                <w:bCs/>
                <w:color w:val="8B0000"/>
                <w:sz w:val="16"/>
                <w:szCs w:val="16"/>
              </w:rPr>
              <w:t xml:space="preserve">FAIL -&gt; RE_RETRIEVAL   </w:t>
            </w:r>
            <w:r>
              <w:rPr>
                <w:rFonts w:ascii="Calibri" w:cs="Calibri" w:eastAsia="Calibri" w:hAnsi="Calibri"/>
                <w:b/>
                <w:bCs/>
                <w:color w:val="666666"/>
                <w:sz w:val="16"/>
                <w:szCs w:val="16"/>
              </w:rPr>
              <w:t xml:space="preserve">Modello: </w:t>
            </w:r>
            <w:r>
              <w:rPr>
                <w:rFonts w:ascii="Calibri" w:cs="Calibri" w:eastAsia="Calibri" w:hAnsi="Calibri"/>
                <w:color w:val="666666"/>
                <w:sz w:val="16"/>
                <w:szCs w:val="16"/>
              </w:rPr>
              <w:t xml:space="preserve">qwen2.5-7b-instruct   </w:t>
            </w:r>
            <w:r>
              <w:rPr>
                <w:rFonts w:ascii="Calibri" w:cs="Calibri" w:eastAsia="Calibri" w:hAnsi="Calibri"/>
                <w:b/>
                <w:bCs/>
                <w:color w:val="666666"/>
                <w:sz w:val="16"/>
                <w:szCs w:val="16"/>
              </w:rPr>
              <w:t xml:space="preserve">Tempo: </w:t>
            </w:r>
            <w:r>
              <w:rPr>
                <w:rFonts w:ascii="Calibri" w:cs="Calibri" w:eastAsia="Calibri" w:hAnsi="Calibri"/>
                <w:color w:val="666666"/>
                <w:sz w:val="16"/>
                <w:szCs w:val="16"/>
              </w:rPr>
              <w:t xml:space="preserve">33561 ms</w:t>
            </w:r>
          </w:p>
        </w:tc>
      </w:tr>
    </w:tbl>
    <w:p>
      <w:pPr>
        <w:spacing w:after="0" w:before="160"/>
      </w:pPr>
    </w:p>
    <w:p>
      <w:pPr>
        <w:pBdr>
          <w:bottom w:val="single" w:color="D6E4F0" w:sz="4" w:space="4"/>
        </w:pBdr>
        <w:spacing w:after="80" w:before="180"/>
      </w:pPr>
      <w:r>
        <w:rPr>
          <w:rFonts w:ascii="Calibri" w:cs="Calibri" w:eastAsia="Calibri" w:hAnsi="Calibri"/>
          <w:b/>
          <w:bCs/>
          <w:color w:val="1F3864"/>
          <w:sz w:val="20"/>
          <w:szCs w:val="20"/>
        </w:rPr>
        <w:t xml:space="preserve">Fonti citate dal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650"/>
        <w:gridCol w:w="4626"/>
      </w:tblGrid>
      <w:tr>
        <w:trPr>
          <w:tblHeader/>
        </w:trPr>
        <w:tc>
          <w:tcPr>
            <w:tcW w:type="dxa" w:w="4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w:t>
            </w:r>
          </w:p>
        </w:tc>
        <w:tc>
          <w:tcPr>
            <w:tcW w:type="dxa" w:w="33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Source ID</w:t>
            </w:r>
          </w:p>
        </w:tc>
        <w:tc>
          <w:tcPr>
            <w:tcW w:type="dxa" w:w="65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Score</w:t>
            </w:r>
          </w:p>
        </w:tc>
        <w:tc>
          <w:tcPr>
            <w:tcW w:type="dxa" w:w="46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Estratto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urn:nir:stato:decreto.del.presidente.della.repubblica:1986-12-22;917~art172</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0.980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Art. 136 Determinazione d...</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urn:nir:stato:decreto.del.presidente.della.repubblica:1986-12-22;917~art207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-0.855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'aliquota media applicata...</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urn:nir:stato:decreto.del.presidente.della.repubblica:1972-10-26;633~art95</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-0.904</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26 ottobre 1972, n. 633 Art. 54-bis (Liquidazione ...</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urn:nir:stato:decreto.del.presidente.della.repubblica:1986-12-22;917~art99</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-1.430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Art. 78 Detrazione d'impo...</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urn:nir:stato:decreto.legislativo:1997-07-09;241~art14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-1.620</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9 luglio 1997, n. 241  quelle soggette all'aliquota del tredici per ce...</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urn:nir:stato:decreto.del.presidente.della.repubblica:1986-12-22;917~art63</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-1.756</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tassazione nel periodo d...</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urn:nir:stato:decreto.legislativo:2000-08-18;267~art150</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-1.871</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18 agosto 2000, n. 267  importi annualmente spettanti a titolo di tras...</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urn:nir:stato:decreto.del.presidente.della.repubblica:1986-12-22;917~art197</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-2.042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Art. 159 Obblighi contabi...</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urn:nir:stato:decreto.legislativo:1997-07-09;241~art14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-2.085</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LEGISLATIVO 9 luglio 1997, n. 241 'art. 26. Tuttavia, in deroga a tale disposizion...</w:t>
            </w:r>
          </w:p>
        </w:tc>
      </w:tr>
      <w:tr>
        <w:tc>
          <w:tcPr>
            <w:tcW w:type="dxa" w:w="4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3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urn:nir:stato:decreto.del.presidente.della.repubblica:1986-12-22;917~art184</w:t>
            </w:r>
          </w:p>
        </w:tc>
        <w:tc>
          <w:tcPr>
            <w:tcW w:type="dxa" w:w="65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-2.112</w:t>
            </w:r>
          </w:p>
        </w:tc>
        <w:tc>
          <w:tcPr>
            <w:tcW w:type="dxa" w:w="46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DECRETO DEL PRESIDENTE DELLA REPUBBLICA 22 dicembre 1986, n. 917 Art. 147 Detrazione d'imp...</w:t>
            </w:r>
          </w:p>
        </w:tc>
      </w:tr>
    </w:tbl>
    <w:p>
      <w:pPr>
        <w:spacing w:after="0" w:before="200"/>
      </w:pPr>
    </w:p>
    <w:p>
      <w:pPr>
        <w:pBdr>
          <w:bottom w:val="single" w:color="D6E4F0" w:sz="4" w:space="4"/>
        </w:pBdr>
        <w:spacing w:after="80" w:before="180"/>
      </w:pPr>
      <w:r>
        <w:rPr>
          <w:rFonts w:ascii="Calibri" w:cs="Calibri" w:eastAsia="Calibri" w:hAnsi="Calibri"/>
          <w:b/>
          <w:bCs/>
          <w:color w:val="1F3864"/>
          <w:sz w:val="20"/>
          <w:szCs w:val="20"/>
        </w:rPr>
        <w:t xml:space="preserve">Rubrica di valutazione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126"/>
        <w:gridCol w:w="2700"/>
      </w:tblGrid>
      <w:tr>
        <w:trPr>
          <w:tblHeader/>
        </w:trPr>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Dimensione</w:t>
            </w:r>
          </w:p>
        </w:tc>
        <w:tc>
          <w:tcPr>
            <w:tcW w:type="dxa" w:w="312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Valutazione</w:t>
            </w:r>
          </w:p>
        </w:tc>
        <w:tc>
          <w:tcPr>
            <w:tcW w:type="dxa" w:w="27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Note</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La risposta e giuridicamente corretta?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Si   [] Parziale   [] No</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Le fonti citate sono pertinenti?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Tutte   [] Alcune   [] Nessuna   [] Fonti errate</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Mancano norme importanti?</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quali:</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Il sistema ha inventato qualcosa?</w:t>
            </w:r>
          </w:p>
        </w:tc>
        <w:tc>
          <w:tcPr>
            <w:tcW w:type="dxa" w:w="3126"/>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 No   [] Si - cosa:</w:t>
            </w:r>
          </w:p>
        </w:tc>
        <w:tc>
          <w:tcPr>
            <w:tcW w:type="dxa" w:w="27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300"/>
            </w:pPr>
            <w:r>
              <w:rPr>
                <w:rFonts w:ascii="Calibri" w:cs="Calibri" w:eastAsia="Calibri" w:hAnsi="Calibri"/>
                <w:sz w:val="18"/>
                <w:szCs w:val="18"/>
              </w:rPr>
              <w:t xml:space="preserve"> </w:t>
            </w:r>
          </w:p>
        </w:tc>
      </w:tr>
      <w:tr>
        <w:tc>
          <w:tcPr>
            <w:tcW w:type="dxa" w:w="3200"/>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r>
              <w:rPr>
                <w:rFonts w:ascii="Calibri" w:cs="Calibri" w:eastAsia="Calibri" w:hAnsi="Calibri"/>
                <w:i w:val="false"/>
                <w:iCs w:val="false"/>
                <w:sz w:val="18"/>
                <w:szCs w:val="18"/>
              </w:rPr>
              <w:t xml:space="preserve">Commento libero</w:t>
            </w:r>
          </w:p>
        </w:tc>
        <w:tc>
          <w:tcPr>
            <w:tcW w:type="dxa" w:w="5826"/>
            <w:gridSpan w:val="2"/>
            <w:tcBorders>
              <w:top w:val="single" w:color="CCCCCC" w:sz="6"/>
              <w:left w:val="single" w:color="CCCCCC" w:sz="6"/>
              <w:bottom w:val="single" w:color="CCCCCC" w:sz="6"/>
              <w:right w:val="single" w:color="CCCCCC" w:sz="6"/>
            </w:tcBorders>
            <w:shd w:fill="F2F2F2" w:val="clear"/>
            <w:tcMar>
              <w:top w:type="dxa" w:w="80"/>
              <w:left w:type="dxa" w:w="120"/>
              <w:bottom w:type="dxa" w:w="80"/>
              <w:right w:type="dxa" w:w="120"/>
            </w:tcMar>
          </w:tcPr>
          <w:p>
            <w:pPr>
              <w:spacing w:before="600"/>
            </w:pPr>
            <w:r>
              <w:rPr>
                <w:rFonts w:ascii="Calibri" w:cs="Calibri" w:eastAsia="Calibri" w:hAnsi="Calibri"/>
                <w:sz w:val="18"/>
                <w:szCs w:val="18"/>
              </w:rPr>
              <w:t xml:space="preserve"> </w:t>
            </w:r>
          </w:p>
        </w:tc>
      </w:tr>
    </w:tbl>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D6E4F0" w:val="clear"/>
            <w:tcMar>
              <w:top w:type="dxa" w:w="140"/>
              <w:left w:type="dxa" w:w="180"/>
              <w:bottom w:type="dxa" w:w="140"/>
              <w:right w:type="dxa" w:w="180"/>
            </w:tcMar>
          </w:tcPr>
          <w:p>
            <w:r>
              <w:rPr>
                <w:rFonts w:ascii="Calibri" w:cs="Calibri" w:eastAsia="Calibri" w:hAnsi="Calibri"/>
                <w:b/>
                <w:bCs/>
                <w:color w:val="1F3864"/>
                <w:sz w:val="20"/>
                <w:szCs w:val="20"/>
              </w:rPr>
              <w:t xml:space="preserve">Nota: </w:t>
            </w:r>
            <w:r>
              <w:rPr>
                <w:rFonts w:ascii="Calibri" w:cs="Calibri" w:eastAsia="Calibri" w:hAnsi="Calibri"/>
                <w:color w:val="444444"/>
                <w:sz w:val="20"/>
                <w:szCs w:val="20"/>
              </w:rPr>
              <w:t xml:space="preserve">Questa scheda testa la capacita del sistema di collegare norme fiscali (TUIR) con fattispecie penali. E la piu complessa del set.</w:t>
            </w:r>
          </w:p>
        </w:tc>
      </w:tr>
    </w:tbl>
    <w:p>
      <w:r>
        <w:br w:type="page"/>
      </w:r>
    </w:p>
    <w:p>
      <w:pPr>
        <w:pStyle w:val="Heading1"/>
      </w:pPr>
      <w:r>
        <w:rPr>
          <w:rFonts w:ascii="Calibri" w:cs="Calibri" w:eastAsia="Calibri" w:hAnsi="Calibri"/>
          <w:b/>
          <w:bCs/>
          <w:color w:val="1F3864"/>
          <w:sz w:val="28"/>
          <w:szCs w:val="28"/>
        </w:rPr>
        <w:t xml:space="preserve">Riepilogo valutazioni</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106"/>
        <w:gridCol w:w="1106"/>
        <w:gridCol w:w="1507"/>
        <w:gridCol w:w="1507"/>
      </w:tblGrid>
      <w:tr>
        <w:trPr>
          <w:tblHeader/>
        </w:trPr>
        <w:tc>
          <w:tcPr>
            <w:tcW w:type="dxa" w:w="6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w:t>
            </w:r>
          </w:p>
        </w:tc>
        <w:tc>
          <w:tcPr>
            <w:tcW w:type="dxa" w:w="3200"/>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Tema</w:t>
            </w:r>
          </w:p>
        </w:tc>
        <w:tc>
          <w:tcPr>
            <w:tcW w:type="dxa" w:w="110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Correttezza</w:t>
            </w:r>
          </w:p>
        </w:tc>
        <w:tc>
          <w:tcPr>
            <w:tcW w:type="dxa" w:w="1106"/>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Fonti</w:t>
            </w:r>
          </w:p>
        </w:tc>
        <w:tc>
          <w:tcPr>
            <w:tcW w:type="dxa" w:w="1507"/>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Allucinazioni</w:t>
            </w:r>
          </w:p>
        </w:tc>
        <w:tc>
          <w:tcPr>
            <w:tcW w:type="dxa" w:w="1507"/>
            <w:tcBorders>
              <w:top w:val="single" w:color="1F3864" w:sz="6"/>
              <w:left w:val="single" w:color="1F3864" w:sz="6"/>
              <w:bottom w:val="single" w:color="1F3864" w:sz="6"/>
              <w:right w:val="single" w:color="1F3864" w:sz="6"/>
            </w:tcBorders>
            <w:shd w:fill="D6E4F0" w:val="clear"/>
            <w:tcMar>
              <w:top w:type="dxa" w:w="80"/>
              <w:left w:type="dxa" w:w="120"/>
              <w:bottom w:type="dxa" w:w="80"/>
              <w:right w:type="dxa" w:w="120"/>
            </w:tcMar>
          </w:tcPr>
          <w:p>
            <w:r>
              <w:rPr>
                <w:rFonts w:ascii="Calibri" w:cs="Calibri" w:eastAsia="Calibri" w:hAnsi="Calibri"/>
                <w:b/>
                <w:bCs/>
                <w:color w:val="1F3864"/>
                <w:sz w:val="18"/>
                <w:szCs w:val="18"/>
              </w:rPr>
              <w:t xml:space="preserve">Norme mancanti</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Dichiarazione fraudolenta con fatture false</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2</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Dichiarazione infedele: soglia di punibilita</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3</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Omesso versamento IVA: soglia e termine</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4</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Indebita compensazione con crediti non spettanti</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5</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Cause di non punibilita: ravvedimento operoso</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6</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Confisca per equivalente in materia tributaria</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7</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Responsabilita degli enti per reati tributari</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8</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Cumulo sanzioni amministrative e penali (ne bis in idem)</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9</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Sequestro preventivo: presupposti in reato tributario</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r>
        <w:tc>
          <w:tcPr>
            <w:tcW w:type="dxa" w:w="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10</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rPr>
                <w:rFonts w:ascii="Calibri" w:cs="Calibri" w:eastAsia="Calibri" w:hAnsi="Calibri"/>
                <w:i w:val="false"/>
                <w:iCs w:val="false"/>
                <w:sz w:val="18"/>
                <w:szCs w:val="18"/>
              </w:rPr>
              <w:t xml:space="preserve">Base imponibile TUIR e dichiarazione infedele [CROSS]</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10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c>
          <w:tcPr>
            <w:tcW w:type="dxa" w:w="1507"/>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pPr>
              <w:spacing w:before="240"/>
            </w:pPr>
            <w:r>
              <w:rPr>
                <w:rFonts w:ascii="Calibri" w:cs="Calibri" w:eastAsia="Calibri" w:hAnsi="Calibri"/>
                <w:sz w:val="18"/>
                <w:szCs w:val="18"/>
              </w:rPr>
              <w:t xml:space="preserve"> </w:t>
            </w:r>
          </w:p>
        </w:tc>
      </w:tr>
    </w:tbl>
    <w:p>
      <w:pPr>
        <w:spacing w:after="0" w:before="300"/>
      </w:pPr>
    </w:p>
    <w:p>
      <w:pPr>
        <w:pBdr>
          <w:bottom w:val="single" w:color="D6E4F0" w:sz="4" w:space="4"/>
        </w:pBdr>
        <w:spacing w:after="80" w:before="180"/>
      </w:pPr>
      <w:r>
        <w:rPr>
          <w:rFonts w:ascii="Calibri" w:cs="Calibri" w:eastAsia="Calibri" w:hAnsi="Calibri"/>
          <w:b/>
          <w:bCs/>
          <w:color w:val="1F3864"/>
          <w:sz w:val="20"/>
          <w:szCs w:val="20"/>
        </w:rPr>
        <w:t xml:space="preserve">Note generali sul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6"/>
              <w:left w:val="single" w:color="CCCCCC" w:sz="6"/>
              <w:bottom w:val="single" w:color="CCCCCC" w:sz="6"/>
              <w:right w:val="single" w:color="CCCCCC" w:sz="6"/>
            </w:tcBorders>
            <w:shd w:fill="FAFAFA" w:val="clear"/>
            <w:tcMar>
              <w:top w:type="dxa" w:w="120"/>
              <w:left w:type="dxa" w:w="180"/>
              <w:bottom w:type="dxa" w:w="120"/>
              <w:right w:type="dxa" w:w="180"/>
            </w:tcMar>
          </w:tcPr>
          <w:p>
            <w:pPr>
              <w:spacing w:before="1400"/>
            </w:pPr>
            <w:r>
              <w:rPr>
                <w:rFonts w:ascii="Calibri" w:cs="Calibri" w:eastAsia="Calibri" w:hAnsi="Calibri"/>
                <w:sz w:val="20"/>
                <w:szCs w:val="20"/>
              </w:rPr>
              <w:t xml:space="preserve"> </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jc w:val="right"/>
    </w:pPr>
    <w:r>
      <w:rPr>
        <w:rFonts w:ascii="Calibri" w:cs="Calibri" w:eastAsia="Calibri" w:hAnsi="Calibri"/>
        <w:i/>
        <w:iCs/>
        <w:color w:val="888888"/>
        <w:sz w:val="16"/>
        <w:szCs w:val="16"/>
      </w:rPr>
      <w:t xml:space="preserve">Documento riservato</w:t>
    </w:r>
    <w:r>
      <w:rPr>
        <w:rFonts w:ascii="Calibri" w:cs="Calibri" w:eastAsia="Calibri" w:hAnsi="Calibri"/>
        <w:color w:val="888888"/>
        <w:sz w:val="16"/>
        <w:szCs w:val="16"/>
      </w:rPr>
      <w:t xml:space="preserve">   |   Pagina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pPr>
    <w:r>
      <w:rPr>
        <w:rFonts w:ascii="Calibri" w:cs="Calibri" w:eastAsia="Calibri" w:hAnsi="Calibri"/>
        <w:color w:val="888888"/>
        <w:sz w:val="16"/>
        <w:szCs w:val="16"/>
      </w:rPr>
      <w:t xml:space="preserve">AiUra LegalLab - Golden Test Set - Penale Tributario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2026-06-01T10:24:00.184Z</dcterms:created>
  <dcterms:modified xsi:type="dcterms:W3CDTF">2026-06-01T10:24:00.192Z</dcterms:modified>
</cp:coreProperties>
</file>

<file path=docProps/custom.xml><?xml version="1.0" encoding="utf-8"?>
<Properties xmlns="http://schemas.openxmlformats.org/officeDocument/2006/custom-properties" xmlns:vt="http://schemas.openxmlformats.org/officeDocument/2006/docPropsVTypes"/>
</file>