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20" w:before="0"/>
        <w:jc w:val="center"/>
      </w:pPr>
      <w:r>
        <w:rPr>
          <w:rFonts w:ascii="Arial" w:cs="Arial" w:eastAsia="Arial" w:hAnsi="Arial"/>
          <w:b/>
          <w:bCs/>
          <w:color w:val="1F4E79"/>
          <w:sz w:val="56"/>
          <w:szCs w:val="56"/>
        </w:rPr>
        <w:t xml:space="preserve">AiUra LegalLab</w:t>
      </w:r>
    </w:p>
    <w:p>
      <w:pPr>
        <w:spacing w:after="80" w:before="0"/>
        <w:jc w:val="center"/>
      </w:pPr>
      <w:r>
        <w:rPr>
          <w:rFonts w:ascii="Arial" w:cs="Arial" w:eastAsia="Arial" w:hAnsi="Arial"/>
          <w:color w:val="595959"/>
          <w:sz w:val="32"/>
          <w:szCs w:val="32"/>
        </w:rPr>
        <w:t xml:space="preserve">Valutazione Sistema</w:t>
      </w:r>
    </w:p>
    <w:p>
      <w:pPr>
        <w:spacing w:after="0" w:before="40"/>
      </w:pPr>
    </w:p>
    <w:p>
      <w:pPr>
        <w:pBdr>
          <w:bottom w:val="single" w:color="2E75B6" w:sz="6"/>
        </w:pBdr>
        <w:spacing w:after="80" w:before="0"/>
        <w:jc w:val="center"/>
      </w:pPr>
      <w:r>
        <w:rPr>
          <w:rFonts w:ascii="Arial" w:cs="Arial" w:eastAsia="Arial" w:hAnsi="Arial"/>
          <w:b/>
          <w:bCs/>
          <w:color w:val="2E75B6"/>
          <w:sz w:val="28"/>
          <w:szCs w:val="28"/>
        </w:rPr>
        <w:t xml:space="preserve">Golden Test Set — Seconda Sessione — Penale Tributario</w:t>
      </w:r>
    </w:p>
    <w:p>
      <w:pPr>
        <w:spacing w:after="0" w:before="40"/>
      </w:pPr>
    </w:p>
    <w:p>
      <w:pPr>
        <w:spacing w:after="200" w:before="0"/>
        <w:jc w:val="center"/>
      </w:pPr>
      <w:r>
        <w:rPr>
          <w:rFonts w:ascii="Arial" w:cs="Arial" w:eastAsia="Arial" w:hAnsi="Arial"/>
          <w:color w:val="595959"/>
          <w:sz w:val="22"/>
          <w:szCs w:val="22"/>
        </w:rPr>
        <w:t xml:space="preserve">2 giugno 2026</w:t>
      </w:r>
    </w:p>
    <w:p>
      <w:pPr>
        <w:spacing w:after="0" w:before="200"/>
      </w:pPr>
    </w:p>
    <w:p>
      <w:pPr>
        <w:pBdr>
          <w:left w:val="single" w:color="1E7145" w:sz="20" w:space="10"/>
        </w:pBdr>
        <w:spacing w:after="80" w:before="0"/>
        <w:ind w:left="400"/>
      </w:pPr>
      <w:r>
        <w:rPr>
          <w:rFonts w:ascii="Arial" w:cs="Arial" w:eastAsia="Arial" w:hAnsi="Arial"/>
          <w:b/>
          <w:bCs/>
          <w:color w:val="1E7145"/>
          <w:sz w:val="24"/>
          <w:szCs w:val="24"/>
        </w:rPr>
        <w:t xml:space="preserve">NOVITÀ IN QUESTA SESSIONE</w:t>
      </w:r>
    </w:p>
    <w:p>
      <w:pPr>
        <w:spacing w:after="80" w:before="60"/>
        <w:ind w:left="400"/>
        <w:jc w:val="left"/>
      </w:pPr>
      <w:r>
        <w:rPr>
          <w:rFonts w:ascii="Arial" w:cs="Arial" w:eastAsia="Arial" w:hAnsi="Arial"/>
          <w:b w:val="false"/>
          <w:bCs w:val="false"/>
          <w:i w:val="false"/>
          <w:iCs w:val="false"/>
          <w:color w:val="333333"/>
          <w:sz w:val="20"/>
          <w:szCs w:val="20"/>
        </w:rPr>
        <w:t xml:space="preserve">Questa sessione introduce la giurisprudenza nella knowledge base: 58.845 sentenze (Cassazione, TAR, Corte dei Conti) sono ora consultabili dal sistema. Tutte le 10 risposte includono fonti giurisprudenziali — nella prima sessione la sezione Giurisprudenza era vuota per tutte le schede.</w:t>
      </w:r>
    </w:p>
    <w:p>
      <w:pPr>
        <w:spacing w:after="0" w:before="100"/>
      </w:pPr>
    </w:p>
    <w:p>
      <w:pPr>
        <w:pBdr>
          <w:bottom w:val="single" w:color="2E75B6" w:sz="8"/>
        </w:pBdr>
        <w:spacing w:after="80" w:before="160"/>
      </w:pPr>
      <w:r>
        <w:rPr>
          <w:rFonts w:ascii="Arial" w:cs="Arial" w:eastAsia="Arial" w:hAnsi="Arial"/>
          <w:b/>
          <w:bCs/>
          <w:color w:val="2E75B6"/>
          <w:sz w:val="26"/>
          <w:szCs w:val="26"/>
        </w:rPr>
        <w:t xml:space="preserve">Riepilogo risultati</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Query elaborate</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center"/>
            </w:pPr>
            <w:r>
              <w:rPr>
                <w:rFonts w:ascii="Arial" w:cs="Arial" w:eastAsia="Arial" w:hAnsi="Arial"/>
                <w:b/>
                <w:bCs/>
                <w:color w:val="1E7145"/>
                <w:sz w:val="20"/>
                <w:szCs w:val="20"/>
              </w:rPr>
              <w:t xml:space="preserve">PASS → DELIVER</w:t>
            </w:r>
          </w:p>
        </w:tc>
        <w:tc>
          <w:tcPr>
            <w:tcW w:type="dxa" w:w="224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FAIL → RE_RETRIEVAL</w:t>
            </w:r>
          </w:p>
        </w:tc>
        <w:tc>
          <w:tcPr>
            <w:tcW w:type="dxa" w:w="2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Fonti giurisprudenziali</w:t>
            </w:r>
          </w:p>
        </w:tc>
      </w:tr>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36"/>
                <w:szCs w:val="36"/>
              </w:rPr>
              <w:t xml:space="preserve">10</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center"/>
            </w:pPr>
            <w:r>
              <w:rPr>
                <w:rFonts w:ascii="Arial" w:cs="Arial" w:eastAsia="Arial" w:hAnsi="Arial"/>
                <w:b/>
                <w:bCs/>
                <w:color w:val="1E7145"/>
                <w:sz w:val="36"/>
                <w:szCs w:val="36"/>
              </w:rPr>
              <w:t xml:space="preserve">6</w:t>
            </w:r>
          </w:p>
        </w:tc>
        <w:tc>
          <w:tcPr>
            <w:tcW w:type="dxa" w:w="224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center"/>
            </w:pPr>
            <w:r>
              <w:rPr>
                <w:rFonts w:ascii="Arial" w:cs="Arial" w:eastAsia="Arial" w:hAnsi="Arial"/>
                <w:b/>
                <w:bCs/>
                <w:color w:val="C00000"/>
                <w:sz w:val="36"/>
                <w:szCs w:val="36"/>
              </w:rPr>
              <w:t xml:space="preserve">4</w:t>
            </w:r>
          </w:p>
        </w:tc>
        <w:tc>
          <w:tcPr>
            <w:tcW w:type="dxa" w:w="2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36"/>
                <w:szCs w:val="36"/>
              </w:rPr>
              <w:t xml:space="preserve">10 / 10</w:t>
            </w:r>
          </w:p>
        </w:tc>
      </w:tr>
    </w:tbl>
    <w:p>
      <w:pPr>
        <w:spacing w:after="0" w:before="100"/>
      </w:pPr>
    </w:p>
    <w:p>
      <w:pPr>
        <w:pBdr>
          <w:bottom w:val="single" w:color="2E75B6" w:sz="8"/>
        </w:pBdr>
        <w:spacing w:after="80" w:before="160"/>
      </w:pPr>
      <w:r>
        <w:rPr>
          <w:rFonts w:ascii="Arial" w:cs="Arial" w:eastAsia="Arial" w:hAnsi="Arial"/>
          <w:b/>
          <w:bCs/>
          <w:color w:val="2E75B6"/>
          <w:sz w:val="26"/>
          <w:szCs w:val="26"/>
        </w:rPr>
        <w:t xml:space="preserve">Istruzioni per la valutazione</w:t>
      </w:r>
    </w:p>
    <w:p>
      <w:pPr>
        <w:spacing w:after="60" w:before="80"/>
        <w:jc w:val="left"/>
      </w:pPr>
      <w:r>
        <w:rPr>
          <w:rFonts w:ascii="Arial" w:cs="Arial" w:eastAsia="Arial" w:hAnsi="Arial"/>
          <w:b w:val="false"/>
          <w:bCs w:val="false"/>
          <w:i w:val="false"/>
          <w:iCs w:val="false"/>
          <w:color w:val="000000"/>
          <w:sz w:val="20"/>
          <w:szCs w:val="20"/>
        </w:rPr>
        <w:t xml:space="preserve">Questo documento contiene 10 scenari in materia di penale tributario con le risposte generate dal sistema AiUra LegalLab. Per ciascuno Le chiediamo di valutare la risposta compilando la rubrica in fondo a ogni scheda.</w:t>
      </w:r>
    </w:p>
    <w:p>
      <w:pPr>
        <w:spacing w:after="60" w:before="40"/>
        <w:jc w:val="left"/>
      </w:pPr>
      <w:r>
        <w:rPr>
          <w:rFonts w:ascii="Arial" w:cs="Arial" w:eastAsia="Arial" w:hAnsi="Arial"/>
          <w:b w:val="false"/>
          <w:bCs w:val="false"/>
          <w:i w:val="false"/>
          <w:iCs w:val="false"/>
          <w:color w:val="000000"/>
          <w:sz w:val="20"/>
          <w:szCs w:val="20"/>
        </w:rPr>
        <w:t xml:space="preserve">La valutazione richiede circa 5-10 minuti per scheda (60-90 minuti totali).</w:t>
      </w:r>
    </w:p>
    <w:p>
      <w:pPr>
        <w:spacing w:after="0" w:before="60"/>
      </w:pPr>
    </w:p>
    <w:p>
      <w:pPr>
        <w:spacing w:after="60" w:before="60"/>
        <w:jc w:val="left"/>
      </w:pPr>
      <w:r>
        <w:rPr>
          <w:rFonts w:ascii="Arial" w:cs="Arial" w:eastAsia="Arial" w:hAnsi="Arial"/>
          <w:b/>
          <w:bCs/>
          <w:i w:val="false"/>
          <w:iCs w:val="false"/>
          <w:color w:val="1F4E79"/>
          <w:sz w:val="21"/>
          <w:szCs w:val="21"/>
        </w:rPr>
        <w:t xml:space="preserve">COSA VALUTARE:</w:t>
      </w:r>
    </w:p>
    <w:p>
      <w:pPr>
        <w:spacing w:after="20" w:before="30"/>
        <w:ind w:left="360"/>
        <w:jc w:val="left"/>
      </w:pPr>
      <w:r>
        <w:rPr>
          <w:rFonts w:ascii="Arial" w:cs="Arial" w:eastAsia="Arial" w:hAnsi="Arial"/>
          <w:b w:val="false"/>
          <w:bCs w:val="false"/>
          <w:i w:val="false"/>
          <w:iCs w:val="false"/>
          <w:color w:val="000000"/>
          <w:sz w:val="20"/>
          <w:szCs w:val="20"/>
        </w:rPr>
        <w:t xml:space="preserve">• Correttezza giuridica della risposta</w:t>
      </w:r>
    </w:p>
    <w:p>
      <w:pPr>
        <w:spacing w:after="20" w:before="30"/>
        <w:ind w:left="360"/>
        <w:jc w:val="left"/>
      </w:pPr>
      <w:r>
        <w:rPr>
          <w:rFonts w:ascii="Arial" w:cs="Arial" w:eastAsia="Arial" w:hAnsi="Arial"/>
          <w:b w:val="false"/>
          <w:bCs w:val="false"/>
          <w:i w:val="false"/>
          <w:iCs w:val="false"/>
          <w:color w:val="000000"/>
          <w:sz w:val="20"/>
          <w:szCs w:val="20"/>
        </w:rPr>
        <w:t xml:space="preserve">• Pertinenza e qualità della giurisprudenza citata (NOVITÀ)</w:t>
      </w:r>
    </w:p>
    <w:p>
      <w:pPr>
        <w:spacing w:after="20" w:before="30"/>
        <w:ind w:left="360"/>
        <w:jc w:val="left"/>
      </w:pPr>
      <w:r>
        <w:rPr>
          <w:rFonts w:ascii="Arial" w:cs="Arial" w:eastAsia="Arial" w:hAnsi="Arial"/>
          <w:b w:val="false"/>
          <w:bCs w:val="false"/>
          <w:i w:val="false"/>
          <w:iCs w:val="false"/>
          <w:color w:val="000000"/>
          <w:sz w:val="20"/>
          <w:szCs w:val="20"/>
        </w:rPr>
        <w:t xml:space="preserve">• Pertinenza delle fonti normative citate</w:t>
      </w:r>
    </w:p>
    <w:p>
      <w:pPr>
        <w:spacing w:after="20" w:before="30"/>
        <w:ind w:left="360"/>
        <w:jc w:val="left"/>
      </w:pPr>
      <w:r>
        <w:rPr>
          <w:rFonts w:ascii="Arial" w:cs="Arial" w:eastAsia="Arial" w:hAnsi="Arial"/>
          <w:b w:val="false"/>
          <w:bCs w:val="false"/>
          <w:i w:val="false"/>
          <w:iCs w:val="false"/>
          <w:color w:val="000000"/>
          <w:sz w:val="20"/>
          <w:szCs w:val="20"/>
        </w:rPr>
        <w:t xml:space="preserve">• Presenza di affermazioni inventate o errate (allucinazioni)</w:t>
      </w:r>
    </w:p>
    <w:p>
      <w:pPr>
        <w:spacing w:after="20" w:before="30"/>
        <w:ind w:left="360"/>
        <w:jc w:val="left"/>
      </w:pPr>
      <w:r>
        <w:rPr>
          <w:rFonts w:ascii="Arial" w:cs="Arial" w:eastAsia="Arial" w:hAnsi="Arial"/>
          <w:b w:val="false"/>
          <w:bCs w:val="false"/>
          <w:i w:val="false"/>
          <w:iCs w:val="false"/>
          <w:color w:val="000000"/>
          <w:sz w:val="20"/>
          <w:szCs w:val="20"/>
        </w:rPr>
        <w:t xml:space="preserve">• Sentenze importanti eventualmente mancanti</w:t>
      </w:r>
    </w:p>
    <w:p>
      <w:pPr>
        <w:spacing w:after="0" w:before="60"/>
      </w:pPr>
    </w:p>
    <w:p>
      <w:pPr>
        <w:spacing w:after="60" w:before="60"/>
        <w:jc w:val="left"/>
      </w:pPr>
      <w:r>
        <w:rPr>
          <w:rFonts w:ascii="Arial" w:cs="Arial" w:eastAsia="Arial" w:hAnsi="Arial"/>
          <w:b w:val="false"/>
          <w:bCs w:val="false"/>
          <w:i/>
          <w:iCs/>
          <w:color w:val="595959"/>
          <w:sz w:val="20"/>
          <w:szCs w:val="20"/>
        </w:rPr>
        <w:t xml:space="preserve">COSA NON VALUTARE: stile redazionale, lunghezza, formattazione.</w:t>
      </w:r>
    </w:p>
    <w:p>
      <w:pPr>
        <w:spacing w:after="0" w:before="100"/>
      </w:pPr>
    </w:p>
    <w:p>
      <w:pPr>
        <w:pBdr>
          <w:bottom w:val="single" w:color="2E75B6" w:sz="8"/>
        </w:pBdr>
        <w:spacing w:after="80" w:before="160"/>
      </w:pPr>
      <w:r>
        <w:rPr>
          <w:rFonts w:ascii="Arial" w:cs="Arial" w:eastAsia="Arial" w:hAnsi="Arial"/>
          <w:b/>
          <w:bCs/>
          <w:color w:val="2E75B6"/>
          <w:sz w:val="26"/>
          <w:szCs w:val="26"/>
        </w:rPr>
        <w:t xml:space="preserve">Legenda Reviewer automatico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6960"/>
      </w:tblGrid>
      <w:tr>
        <w:tc>
          <w:tcPr>
            <w:tcW w:type="dxa" w:w="200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20"/>
                <w:szCs w:val="20"/>
              </w:rPr>
              <w:t xml:space="preserve">PASS → DELIVER</w:t>
            </w:r>
          </w:p>
        </w:tc>
        <w:tc>
          <w:tcPr>
            <w:tcW w:type="dxa" w:w="696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Il sistema ha approvato la risposta — tutte le citazioni sono verificate nella KB</w:t>
            </w:r>
          </w:p>
        </w:tc>
      </w:tr>
      <w:tr>
        <w:tc>
          <w:tcPr>
            <w:tcW w:type="dxa" w:w="20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FAIL → RE_RETRIEVAL</w:t>
            </w:r>
          </w:p>
        </w:tc>
        <w:tc>
          <w:tcPr>
            <w:tcW w:type="dxa" w:w="696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Il sistema ha rilevato citazioni non verificabili (possibile allucinazione) — risposta da rivedere</w:t>
            </w:r>
          </w:p>
        </w:tc>
      </w:tr>
    </w:tbl>
    <w:p>
      <w:pPr>
        <w:spacing w:after="0" w:before="60"/>
      </w:pPr>
    </w:p>
    <w:p>
      <w:pPr>
        <w:spacing w:after="0" w:before="120"/>
        <w:jc w:val="center"/>
      </w:pPr>
      <w:r>
        <w:rPr>
          <w:rFonts w:ascii="Arial" w:cs="Arial" w:eastAsia="Arial" w:hAnsi="Arial"/>
          <w:b w:val="false"/>
          <w:bCs w:val="false"/>
          <w:i/>
          <w:iCs/>
          <w:color w:val="595959"/>
          <w:sz w:val="18"/>
          <w:szCs w:val="18"/>
        </w:rPr>
        <w:t xml:space="preserve">Documento riservato — uso interno</w:t>
      </w:r>
    </w:p>
    <w:p>
      <w:pPr>
        <w:spacing w:after="100" w:before="0"/>
      </w:pPr>
      <w:r>
        <w:rPr>
          <w:rFonts w:ascii="Arial" w:cs="Arial" w:eastAsia="Arial" w:hAnsi="Arial"/>
          <w:b/>
          <w:bCs/>
          <w:color w:val="1F4E79"/>
          <w:sz w:val="26"/>
          <w:szCs w:val="26"/>
        </w:rPr>
        <w:t xml:space="preserve">Scheda 1 di 10 — </w:t>
      </w:r>
      <w:r>
        <w:rPr>
          <w:rFonts w:ascii="Arial" w:cs="Arial" w:eastAsia="Arial" w:hAnsi="Arial"/>
          <w:b/>
          <w:bCs/>
          <w:color w:val="2E75B6"/>
          <w:sz w:val="26"/>
          <w:szCs w:val="26"/>
        </w:rPr>
        <w:t xml:space="preserve">Penale Tributario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Difficoltà: Facile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Norma: D.Lgs. 74/2000 art. 2</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8"/>
                <w:szCs w:val="18"/>
              </w:rPr>
              <w:t xml:space="preserve">Giurisprudenza: 10/10 fonti</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Tempo: 24528 ms</w:t>
            </w:r>
          </w:p>
        </w:tc>
      </w:tr>
    </w:tbl>
    <w:p>
      <w:pPr>
        <w:spacing w:after="0" w:before="120"/>
      </w:pPr>
    </w:p>
    <w:p>
      <w:pPr>
        <w:pBdr>
          <w:bottom w:val="single" w:color="2E75B6" w:sz="8"/>
        </w:pBdr>
        <w:spacing w:after="80" w:before="160"/>
      </w:pPr>
      <w:r>
        <w:rPr>
          <w:rFonts w:ascii="Arial" w:cs="Arial" w:eastAsia="Arial" w:hAnsi="Arial"/>
          <w:b/>
          <w:bCs/>
          <w:color w:val="2E75B6"/>
          <w:sz w:val="26"/>
          <w:szCs w:val="26"/>
        </w:rPr>
        <w:t xml:space="preserve">Scenario (query sottoposta al sistema)</w:t>
      </w:r>
    </w:p>
    <w:p>
      <w:pPr>
        <w:spacing w:after="80" w:before="80"/>
        <w:jc w:val="left"/>
      </w:pPr>
      <w:r>
        <w:rPr>
          <w:rFonts w:ascii="Arial" w:cs="Arial" w:eastAsia="Arial" w:hAnsi="Arial"/>
          <w:b w:val="false"/>
          <w:bCs w:val="false"/>
          <w:i/>
          <w:iCs/>
          <w:color w:val="333333"/>
          <w:sz w:val="21"/>
          <w:szCs w:val="21"/>
        </w:rPr>
        <w:t xml:space="preserve">Quali sono gli elementi costitutivi del reato di dichiarazione fraudolenta mediante uso di fatture o altri documenti per operazioni inesistenti ai sensi dell'art. 2 del D.Lgs. 74/2000?</w:t>
      </w:r>
    </w:p>
    <w:p>
      <w:pPr>
        <w:spacing w:after="0" w:before="80"/>
      </w:pPr>
    </w:p>
    <w:p>
      <w:pPr>
        <w:pBdr>
          <w:bottom w:val="single" w:color="2E75B6" w:sz="8"/>
        </w:pBdr>
        <w:spacing w:after="80" w:before="160"/>
      </w:pPr>
      <w:r>
        <w:rPr>
          <w:rFonts w:ascii="Arial" w:cs="Arial" w:eastAsia="Arial" w:hAnsi="Arial"/>
          <w:b/>
          <w:bCs/>
          <w:color w:val="2E75B6"/>
          <w:sz w:val="26"/>
          <w:szCs w:val="26"/>
        </w:rPr>
        <w:t xml:space="preserve">Risposta del sistema</w:t>
      </w:r>
    </w:p>
    <w:p>
      <w:pPr>
        <w:spacing w:after="40" w:before="120"/>
        <w:jc w:val="left"/>
      </w:pPr>
      <w:r>
        <w:rPr>
          <w:rFonts w:ascii="Arial" w:cs="Arial" w:eastAsia="Arial" w:hAnsi="Arial"/>
          <w:b/>
          <w:bCs/>
          <w:i w:val="false"/>
          <w:iCs w:val="false"/>
          <w:color w:val="1F4E79"/>
          <w:sz w:val="21"/>
          <w:szCs w:val="21"/>
        </w:rPr>
        <w:t xml:space="preserve">QUALIFICAZIONE</w:t>
      </w:r>
    </w:p>
    <w:p>
      <w:pPr>
        <w:spacing w:after="30" w:before="40"/>
        <w:ind w:left="360"/>
        <w:jc w:val="left"/>
      </w:pPr>
      <w:r>
        <w:rPr>
          <w:rFonts w:ascii="Arial" w:cs="Arial" w:eastAsia="Arial" w:hAnsi="Arial"/>
          <w:b w:val="false"/>
          <w:bCs w:val="false"/>
          <w:i w:val="false"/>
          <w:iCs w:val="false"/>
          <w:color w:val="222222"/>
          <w:sz w:val="20"/>
          <w:szCs w:val="20"/>
        </w:rPr>
        <w:t xml:space="preserve">Il reato di dichiarazione fraudolenta mediante uso di fatture o altri documenti per operazioni inesistenti ai sensi dell'art. 2 del D.Lgs. 74/2000 richiede la presenza di alcuni elementi costitutivi: l'intenzione fraudolenta, l'uso di fatture o altri documenti e l'esistenza di operazioni inesistenti.</w:t>
      </w:r>
    </w:p>
    <w:p>
      <w:pPr>
        <w:spacing w:after="40" w:before="120"/>
        <w:jc w:val="left"/>
      </w:pPr>
      <w:r>
        <w:rPr>
          <w:rFonts w:ascii="Arial" w:cs="Arial" w:eastAsia="Arial" w:hAnsi="Arial"/>
          <w:b/>
          <w:bCs/>
          <w:i w:val="false"/>
          <w:iCs w:val="false"/>
          <w:color w:val="1F4E79"/>
          <w:sz w:val="21"/>
          <w:szCs w:val="21"/>
        </w:rPr>
        <w:t xml:space="preserve">NORMA APPLICABILE</w:t>
      </w:r>
    </w:p>
    <w:p>
      <w:pPr>
        <w:spacing w:after="30" w:before="40"/>
        <w:ind w:left="360"/>
        <w:jc w:val="left"/>
      </w:pPr>
      <w:r>
        <w:rPr>
          <w:rFonts w:ascii="Arial" w:cs="Arial" w:eastAsia="Arial" w:hAnsi="Arial"/>
          <w:b w:val="false"/>
          <w:bCs w:val="false"/>
          <w:i w:val="false"/>
          <w:iCs w:val="false"/>
          <w:color w:val="222222"/>
          <w:sz w:val="20"/>
          <w:szCs w:val="20"/>
        </w:rPr>
        <w:t xml:space="preserve">Il reato di dichiarazione fraudolenta mediante uso di fatture o altri documenti per operazioni inesistenti è regolamentato dall'art. 2 del D.Lgs. 74/2000.</w:t>
      </w:r>
    </w:p>
    <w:p>
      <w:pPr>
        <w:spacing w:after="40" w:before="120"/>
        <w:jc w:val="left"/>
      </w:pPr>
      <w:r>
        <w:rPr>
          <w:rFonts w:ascii="Arial" w:cs="Arial" w:eastAsia="Arial" w:hAnsi="Arial"/>
          <w:b/>
          <w:bCs/>
          <w:i w:val="false"/>
          <w:iCs w:val="false"/>
          <w:color w:val="1F4E79"/>
          <w:sz w:val="21"/>
          <w:szCs w:val="21"/>
        </w:rPr>
        <w:t xml:space="preserve">GIURISPRUDENZA</w:t>
      </w:r>
    </w:p>
    <w:p>
      <w:pPr>
        <w:spacing w:after="30" w:before="40"/>
        <w:ind w:left="360"/>
        <w:jc w:val="left"/>
      </w:pPr>
      <w:r>
        <w:rPr>
          <w:rFonts w:ascii="Arial" w:cs="Arial" w:eastAsia="Arial" w:hAnsi="Arial"/>
          <w:b w:val="false"/>
          <w:bCs w:val="false"/>
          <w:i w:val="false"/>
          <w:iCs w:val="false"/>
          <w:color w:val="222222"/>
          <w:sz w:val="20"/>
          <w:szCs w:val="20"/>
        </w:rPr>
        <w:t xml:space="preserve">La giurisprudenza della Cassazione ha ripetutamente chiarito che l'uso di fatture o altri documenti per operazioni inesistenti è un elemento costitutivo del reato, ma non valorizza automaticamente la sussistenza del consilium fraudis. La presenza di atti dispositivi idonei a ostacolare le ragioni creditorie dell'Erario deve essere valutata con attenzione.</w:t>
      </w:r>
    </w:p>
    <w:p>
      <w:pPr>
        <w:spacing w:after="40" w:before="120"/>
        <w:jc w:val="left"/>
      </w:pPr>
      <w:r>
        <w:rPr>
          <w:rFonts w:ascii="Arial" w:cs="Arial" w:eastAsia="Arial" w:hAnsi="Arial"/>
          <w:b/>
          <w:bCs/>
          <w:i w:val="false"/>
          <w:iCs w:val="false"/>
          <w:color w:val="1F4E79"/>
          <w:sz w:val="21"/>
          <w:szCs w:val="21"/>
        </w:rPr>
        <w:t xml:space="preserve">VALUTAZIONE</w:t>
      </w:r>
    </w:p>
    <w:p>
      <w:pPr>
        <w:spacing w:after="30" w:before="40"/>
        <w:ind w:left="360"/>
        <w:jc w:val="left"/>
      </w:pPr>
      <w:r>
        <w:rPr>
          <w:rFonts w:ascii="Arial" w:cs="Arial" w:eastAsia="Arial" w:hAnsi="Arial"/>
          <w:b w:val="false"/>
          <w:bCs w:val="false"/>
          <w:i w:val="false"/>
          <w:iCs w:val="false"/>
          <w:color w:val="222222"/>
          <w:sz w:val="20"/>
          <w:szCs w:val="20"/>
        </w:rPr>
        <w:t xml:space="preserve">La valutazione della sussistenza del consilium fraudis richiede una rigorosa analisi dei fatti, non potendo essere valorizzato automaticamente l'uso di fatture o altri documenti per operazioni inesistenti.</w:t>
      </w:r>
    </w:p>
    <w:p>
      <w:pPr>
        <w:spacing w:after="40" w:before="120"/>
        <w:jc w:val="left"/>
      </w:pPr>
      <w:r>
        <w:rPr>
          <w:rFonts w:ascii="Arial" w:cs="Arial" w:eastAsia="Arial" w:hAnsi="Arial"/>
          <w:b/>
          <w:bCs/>
          <w:i w:val="false"/>
          <w:iCs w:val="false"/>
          <w:color w:val="1F4E79"/>
          <w:sz w:val="21"/>
          <w:szCs w:val="21"/>
        </w:rPr>
        <w:t xml:space="preserve">GAP ANALYSIS</w:t>
      </w:r>
    </w:p>
    <w:p>
      <w:pPr>
        <w:spacing w:after="30" w:before="40"/>
        <w:ind w:left="360"/>
        <w:jc w:val="left"/>
      </w:pPr>
      <w:r>
        <w:rPr>
          <w:rFonts w:ascii="Arial" w:cs="Arial" w:eastAsia="Arial" w:hAnsi="Arial"/>
          <w:b w:val="false"/>
          <w:bCs w:val="false"/>
          <w:i w:val="false"/>
          <w:iCs w:val="false"/>
          <w:color w:val="222222"/>
          <w:sz w:val="20"/>
          <w:szCs w:val="20"/>
        </w:rPr>
        <w:t xml:space="preserve">Il Packet manca di una specifica analisi della sussistenza del consilium fraudis, che è un elemento cruciale per la valutazione del reato. Inoltre, non ci sono citazioni dirette relative all'articolo 2 del D.Lgs. 74/2000.</w:t>
      </w:r>
    </w:p>
    <w:p>
      <w:pPr>
        <w:spacing w:after="0" w:before="100"/>
      </w:pPr>
    </w:p>
    <w:p>
      <w:pPr>
        <w:pBdr>
          <w:bottom w:val="single" w:color="2E75B6" w:sz="8"/>
        </w:pBdr>
        <w:spacing w:after="80" w:before="160"/>
      </w:pPr>
      <w:r>
        <w:rPr>
          <w:rFonts w:ascii="Arial" w:cs="Arial" w:eastAsia="Arial" w:hAnsi="Arial"/>
          <w:b/>
          <w:bCs/>
          <w:color w:val="2E75B6"/>
          <w:sz w:val="26"/>
          <w:szCs w:val="26"/>
        </w:rPr>
        <w:t xml:space="preserve">Valutazione automatica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Reviewer</w:t>
            </w:r>
          </w:p>
        </w:tc>
        <w:tc>
          <w:tcPr>
            <w:tcW w:type="dxa" w:w="224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FAIL → RE_RETRIEVAL</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Confidenza</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7D5A00"/>
                <w:sz w:val="19"/>
                <w:szCs w:val="19"/>
              </w:rPr>
              <w:t xml:space="preserve">MEDIUM</w:t>
            </w:r>
          </w:p>
        </w:tc>
      </w:tr>
    </w:tbl>
    <w:p>
      <w:pPr>
        <w:spacing w:after="0" w:before="80"/>
      </w:pPr>
    </w:p>
    <w:p>
      <w:pPr>
        <w:pBdr>
          <w:bottom w:val="single" w:color="1E7145" w:sz="8"/>
        </w:pBdr>
        <w:spacing w:after="80" w:before="160"/>
      </w:pPr>
      <w:r>
        <w:rPr>
          <w:rFonts w:ascii="Arial" w:cs="Arial" w:eastAsia="Arial" w:hAnsi="Arial"/>
          <w:b/>
          <w:bCs/>
          <w:color w:val="1E7145"/>
          <w:sz w:val="26"/>
          <w:szCs w:val="26"/>
        </w:rPr>
        <w:t xml:space="preserve">Fonti giurisprudenziali citate</w:t>
      </w:r>
    </w:p>
    <w:p>
      <w:pPr>
        <w:spacing w:after="80" w:before="60"/>
        <w:jc w:val="left"/>
      </w:pPr>
      <w:r>
        <w:rPr>
          <w:rFonts w:ascii="Arial" w:cs="Arial" w:eastAsia="Arial" w:hAnsi="Arial"/>
          <w:b w:val="false"/>
          <w:bCs w:val="false"/>
          <w:i/>
          <w:iCs/>
          <w:color w:val="1E7145"/>
          <w:sz w:val="19"/>
          <w:szCs w:val="19"/>
        </w:rPr>
        <w:t xml:space="preserve">Il sistema ha recuperato 10 sentenze dalla knowledge base giurisprudenziale.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700"/>
        <w:gridCol w:w="36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ID / Organo</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Estratto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n.36353/2025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-0.341</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del decreto - al profitto del reato di cui all'art. 2 d.lgs. n. 74 del 2000 (contestato al FIORITO al capo 10, nella qualità di amministratore unico della LUNA CAPRESE s.r.I.). 2. Ricorre per cassazio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n.5760/2025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-2.522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deve risultare - oltre, e prima ancora che idoneo ad ostacolare le ragioni creditorie dell'Erario - "fraudolento". Sul punto, questa Suprema Corte ha ripetutamente chiarito che «ai sensi dell'art. 11 </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n.13401/2025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-3.758</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 questione la stessa persona fisica avesse cumulato la carica di amministratore di entrambe le società parti contraenti di tale atto, in realtà, non può affatto essere valorizzata come elemento di 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n.27519/2025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-5.427</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della sentenza. L’accertamento della non autenticità delle sottoscrizioni a nome dell’odierno ricorrente aveva reso tali atti non utilizzabili da parte dell’Agenzia delle Entrate di Catania, rimasta p</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n.16622/2026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-6.032</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'Appello di Cataniavisti gli atti, il provvedimento impugnato e il ricorso;udita la relazione svolta dal Consigliere Alessio Scarcella;letta la requisitoria scritta del Pubblico Ministero, in persona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n.41178/2025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-6.095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 seguente SENTENZA sul ricorso proposto da Galfré Tullio, nato a Cuneo il 24/8/1953 avverso la sentenza del 13/3/2025 della Corte d'appello di Torino visti gli atti, il provvedimento impugnato e il </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n.1094/2025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-6.15</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 seguente SENTENZA sul ricorso proposto da Gramuglia Paolo, nato a Reggio Calabria il 22/1/1973 avverso la sentenza del 8/5/2025 della Corte d'appello di Reggio Calabria visti gli atti, il provvedime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n.1092/2025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-6.215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 seguente SENTENZA sul ricorso proposto da Santi Luigino, nato in Belgio il 13/8/1952 avverso la sentenza del 20/1/2025 della Corte d'appello di Ancona visti gli atti, il provvedimento impugnato e il</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CORTE_CONTI n.288/2025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-6.352</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 dell’onere della prova, incide sulla
stessa fondatezza della domanda.
33
Infatti, la procura sembra ascrivere il danno alla semplice
violazione dell’iter amministrativo, rappresentando che tali due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n.13564/2025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-6.439</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 seguente SENTENZA sul ricorso proposto da De Luca Iuri, nato a Torre del Greco il 18/08/1989 avverso la sentenza del 04/06/2024 della Corte d'appello di Firenze visti gli atti, il provvedimento imp</w:t>
            </w:r>
          </w:p>
        </w:tc>
      </w:tr>
    </w:tbl>
    <w:p>
      <w:pPr>
        <w:spacing w:after="0" w:before="80"/>
      </w:pPr>
    </w:p>
    <w:p>
      <w:pPr>
        <w:pBdr>
          <w:bottom w:val="single" w:color="2E75B6" w:sz="8"/>
        </w:pBdr>
        <w:spacing w:after="80" w:before="160"/>
      </w:pPr>
      <w:r>
        <w:rPr>
          <w:rFonts w:ascii="Arial" w:cs="Arial" w:eastAsia="Arial" w:hAnsi="Arial"/>
          <w:b/>
          <w:bCs/>
          <w:color w:val="2E75B6"/>
          <w:sz w:val="26"/>
          <w:szCs w:val="26"/>
        </w:rPr>
        <w:t xml:space="preserve">Rubrica di valutazione — da compilare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0"/>
        <w:gridCol w:w="49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Valutazione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Correttezza giuridica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Pertinenza fonti normative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Qualità giurisprudenza citata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Allucinazioni / errori fattuali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Sì / No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Giurisprudenza mancante rilevante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Note libere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bl>
    <w:p>
      <w:pPr>
        <w:pageBreakBefore/>
        <w:spacing w:after="100" w:before="0"/>
      </w:pPr>
      <w:r>
        <w:rPr>
          <w:rFonts w:ascii="Arial" w:cs="Arial" w:eastAsia="Arial" w:hAnsi="Arial"/>
          <w:b/>
          <w:bCs/>
          <w:color w:val="1F4E79"/>
          <w:sz w:val="26"/>
          <w:szCs w:val="26"/>
        </w:rPr>
        <w:t xml:space="preserve">Scheda 2 di 10 — </w:t>
      </w:r>
      <w:r>
        <w:rPr>
          <w:rFonts w:ascii="Arial" w:cs="Arial" w:eastAsia="Arial" w:hAnsi="Arial"/>
          <w:b/>
          <w:bCs/>
          <w:color w:val="2E75B6"/>
          <w:sz w:val="26"/>
          <w:szCs w:val="26"/>
        </w:rPr>
        <w:t xml:space="preserve">Penale Tributario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Difficoltà: Media</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Norma: D.Lgs. 74/2000 art. 4</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8"/>
                <w:szCs w:val="18"/>
              </w:rPr>
              <w:t xml:space="preserve">Giurisprudenza: 10/10 fonti</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Tempo: 6687 ms</w:t>
            </w:r>
          </w:p>
        </w:tc>
      </w:tr>
    </w:tbl>
    <w:p>
      <w:pPr>
        <w:spacing w:after="0" w:before="120"/>
      </w:pPr>
    </w:p>
    <w:p>
      <w:pPr>
        <w:pBdr>
          <w:bottom w:val="single" w:color="2E75B6" w:sz="8"/>
        </w:pBdr>
        <w:spacing w:after="80" w:before="160"/>
      </w:pPr>
      <w:r>
        <w:rPr>
          <w:rFonts w:ascii="Arial" w:cs="Arial" w:eastAsia="Arial" w:hAnsi="Arial"/>
          <w:b/>
          <w:bCs/>
          <w:color w:val="2E75B6"/>
          <w:sz w:val="26"/>
          <w:szCs w:val="26"/>
        </w:rPr>
        <w:t xml:space="preserve">Scenario (query sottoposta al sistema)</w:t>
      </w:r>
    </w:p>
    <w:p>
      <w:pPr>
        <w:spacing w:after="80" w:before="80"/>
        <w:jc w:val="left"/>
      </w:pPr>
      <w:r>
        <w:rPr>
          <w:rFonts w:ascii="Arial" w:cs="Arial" w:eastAsia="Arial" w:hAnsi="Arial"/>
          <w:b w:val="false"/>
          <w:bCs w:val="false"/>
          <w:i/>
          <w:iCs/>
          <w:color w:val="333333"/>
          <w:sz w:val="21"/>
          <w:szCs w:val="21"/>
        </w:rPr>
        <w:t xml:space="preserve">Quali sono le soglie di punibilità previste dall'art. 4 del D.Lgs. 74/2000 per il reato di dichiarazione infedele e come si calcola l'imposta evasa?</w:t>
      </w:r>
    </w:p>
    <w:p>
      <w:pPr>
        <w:spacing w:after="0" w:before="80"/>
      </w:pPr>
    </w:p>
    <w:p>
      <w:pPr>
        <w:pBdr>
          <w:bottom w:val="single" w:color="2E75B6" w:sz="8"/>
        </w:pBdr>
        <w:spacing w:after="80" w:before="160"/>
      </w:pPr>
      <w:r>
        <w:rPr>
          <w:rFonts w:ascii="Arial" w:cs="Arial" w:eastAsia="Arial" w:hAnsi="Arial"/>
          <w:b/>
          <w:bCs/>
          <w:color w:val="2E75B6"/>
          <w:sz w:val="26"/>
          <w:szCs w:val="26"/>
        </w:rPr>
        <w:t xml:space="preserve">Risposta del sistema</w:t>
      </w:r>
    </w:p>
    <w:p>
      <w:pPr>
        <w:spacing w:after="40" w:before="120"/>
        <w:jc w:val="left"/>
      </w:pPr>
      <w:r>
        <w:rPr>
          <w:rFonts w:ascii="Arial" w:cs="Arial" w:eastAsia="Arial" w:hAnsi="Arial"/>
          <w:b/>
          <w:bCs/>
          <w:i w:val="false"/>
          <w:iCs w:val="false"/>
          <w:color w:val="1F4E79"/>
          <w:sz w:val="21"/>
          <w:szCs w:val="21"/>
        </w:rPr>
        <w:t xml:space="preserve">QUALIFICAZIONE</w:t>
      </w:r>
    </w:p>
    <w:p>
      <w:pPr>
        <w:spacing w:after="30" w:before="40"/>
        <w:ind w:left="360"/>
        <w:jc w:val="left"/>
      </w:pPr>
      <w:r>
        <w:rPr>
          <w:rFonts w:ascii="Arial" w:cs="Arial" w:eastAsia="Arial" w:hAnsi="Arial"/>
          <w:b w:val="false"/>
          <w:bCs w:val="false"/>
          <w:i w:val="false"/>
          <w:iCs w:val="false"/>
          <w:color w:val="222222"/>
          <w:sz w:val="20"/>
          <w:szCs w:val="20"/>
        </w:rPr>
        <w:t xml:space="preserve">Il reato di dichiarazione infedele è previsto dall'art. 4 del D.Lgs. 74/2000, secondo cui l'imposto evaso deve essere superiore a 15.000 euro.</w:t>
      </w:r>
    </w:p>
    <w:p>
      <w:pPr>
        <w:spacing w:after="40" w:before="120"/>
        <w:jc w:val="left"/>
      </w:pPr>
      <w:r>
        <w:rPr>
          <w:rFonts w:ascii="Arial" w:cs="Arial" w:eastAsia="Arial" w:hAnsi="Arial"/>
          <w:b/>
          <w:bCs/>
          <w:i w:val="false"/>
          <w:iCs w:val="false"/>
          <w:color w:val="1F4E79"/>
          <w:sz w:val="21"/>
          <w:szCs w:val="21"/>
        </w:rPr>
        <w:t xml:space="preserve">VALUTAZIONE</w:t>
      </w:r>
    </w:p>
    <w:p>
      <w:pPr>
        <w:spacing w:after="30" w:before="40"/>
        <w:ind w:left="360"/>
        <w:jc w:val="left"/>
      </w:pPr>
      <w:r>
        <w:rPr>
          <w:rFonts w:ascii="Arial" w:cs="Arial" w:eastAsia="Arial" w:hAnsi="Arial"/>
          <w:b w:val="false"/>
          <w:bCs w:val="false"/>
          <w:i w:val="false"/>
          <w:iCs w:val="false"/>
          <w:color w:val="222222"/>
          <w:sz w:val="20"/>
          <w:szCs w:val="20"/>
        </w:rPr>
        <w:t xml:space="preserve">VALUTAZIONE PERSONALE: La valutazione è alta in quanto le norme sono chiare e specifiche.</w:t>
      </w:r>
    </w:p>
    <w:p>
      <w:pPr>
        <w:spacing w:after="0" w:before="100"/>
      </w:pPr>
    </w:p>
    <w:p>
      <w:pPr>
        <w:pBdr>
          <w:bottom w:val="single" w:color="2E75B6" w:sz="8"/>
        </w:pBdr>
        <w:spacing w:after="80" w:before="160"/>
      </w:pPr>
      <w:r>
        <w:rPr>
          <w:rFonts w:ascii="Arial" w:cs="Arial" w:eastAsia="Arial" w:hAnsi="Arial"/>
          <w:b/>
          <w:bCs/>
          <w:color w:val="2E75B6"/>
          <w:sz w:val="26"/>
          <w:szCs w:val="26"/>
        </w:rPr>
        <w:t xml:space="preserve">Valutazione automatica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Reviewer</w:t>
            </w:r>
          </w:p>
        </w:tc>
        <w:tc>
          <w:tcPr>
            <w:tcW w:type="dxa" w:w="224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FAIL → RE_RETRIEVAL</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Confidenza</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E7145"/>
                <w:sz w:val="19"/>
                <w:szCs w:val="19"/>
              </w:rPr>
              <w:t xml:space="preserve">HIGH</w:t>
            </w:r>
          </w:p>
        </w:tc>
      </w:tr>
    </w:tbl>
    <w:p>
      <w:pPr>
        <w:spacing w:after="0" w:before="80"/>
      </w:pPr>
    </w:p>
    <w:p>
      <w:pPr>
        <w:pBdr>
          <w:bottom w:val="single" w:color="1E7145" w:sz="8"/>
        </w:pBdr>
        <w:spacing w:after="80" w:before="160"/>
      </w:pPr>
      <w:r>
        <w:rPr>
          <w:rFonts w:ascii="Arial" w:cs="Arial" w:eastAsia="Arial" w:hAnsi="Arial"/>
          <w:b/>
          <w:bCs/>
          <w:color w:val="1E7145"/>
          <w:sz w:val="26"/>
          <w:szCs w:val="26"/>
        </w:rPr>
        <w:t xml:space="preserve">Fonti giurisprudenziali citate</w:t>
      </w:r>
    </w:p>
    <w:p>
      <w:pPr>
        <w:spacing w:after="80" w:before="60"/>
        <w:jc w:val="left"/>
      </w:pPr>
      <w:r>
        <w:rPr>
          <w:rFonts w:ascii="Arial" w:cs="Arial" w:eastAsia="Arial" w:hAnsi="Arial"/>
          <w:b w:val="false"/>
          <w:bCs w:val="false"/>
          <w:i/>
          <w:iCs/>
          <w:color w:val="1E7145"/>
          <w:sz w:val="19"/>
          <w:szCs w:val="19"/>
        </w:rPr>
        <w:t xml:space="preserve">Il sistema ha recuperato 10 sentenze dalla knowledge base giurisprudenziale.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700"/>
        <w:gridCol w:w="36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ID / Organo</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Estratto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n.34498/2025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1.439</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Sussistono, inoltre, i presupposti per la condanna dei ricorrenti, nella presente sede, sia ai sensi dell’art. 96, comma 3, c.p.c., che ai sensi del comma 4 della medesima disposizione, come espress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n.31464/2025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0.86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Sussistono, inoltre, i presupposti per la condanna della parte ricorrente, nella presente sede, sia ai sensi dell’art. 96, comma 3, c.p.c., che ai sensi del comma 4 della medesima disposi- zione, co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n.26058/2025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0.524</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Sussistono, inoltre, i presupposti per la condanna della parte ricorrente, nella presente sede, sia ai sensi dell’art. 96, comma 3, c.p.c., che ai sensi del comma 4 della medesima disposi- zione, co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n.19715/2025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0.48</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7. Non vi sono i presupposti per imporre il pagamento del cd. doppio contributo unificato. Il meccanismo sanzionatorio di cui all'art. 13, comma 1-quater, d.P.R. n. 115 del 2002, nel testo introdott</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n.32140/2025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0.469</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con distrazione in favore deidifensori dichiarat i si antistatari . Sussistono, inoltre, i presupposti per la condanna della ricor - rente, nella presente sede, sia ai sensi dell’art. 96, comma 3, 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n.15890/2026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-0.524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conla distrazione richiesta.Non si ravvisano però i presupposti per la condanna dellaricorrente ex art. 96 cod. proc. civ. chiesta dalla controricorrente.In considerazione dell’esito del ricorso, ai</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n.7161/2026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-0.793</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.8.  In virtù del richiamo fatto dall’art. 380-bis, comma 3,c.p.c., l’Agenzia delle Entrate deve essere condannata, ai sensidell’art. 96, comma 3, c.p.c., al pagamento, in favore deicontroricorrenti,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n.28968/2025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-2.186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quanto alla confisca del prezzo o del profitto del reato. 5. Tanto premesso, l'art. 12 -bis, stesso decreto, stabilisce che nel caso di condanna o di applicazione della pena su richiesta delle parti</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n.8615/2026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-2.535</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Inoltre, poiché dalladefinizione del giudizio in conformità alla proposta ex art. 380-bis c.p.c.discende l'applicazione delle sanzioni di cui al terzo e al quarto commadell'art. 96 c.p.c., il ricorr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n.8122/2025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-2.717</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secondo il principio dellasoccombenza. Inoltre, dalla definizione del giudizio in conformità allaproposta ex art. 380-bis c.p.c. discende l'applicazione, senza alcunavalutazione discrezionale della </w:t>
            </w:r>
          </w:p>
        </w:tc>
      </w:tr>
    </w:tbl>
    <w:p>
      <w:pPr>
        <w:spacing w:after="0" w:before="80"/>
      </w:pPr>
    </w:p>
    <w:p>
      <w:pPr>
        <w:pBdr>
          <w:bottom w:val="single" w:color="2E75B6" w:sz="8"/>
        </w:pBdr>
        <w:spacing w:after="80" w:before="160"/>
      </w:pPr>
      <w:r>
        <w:rPr>
          <w:rFonts w:ascii="Arial" w:cs="Arial" w:eastAsia="Arial" w:hAnsi="Arial"/>
          <w:b/>
          <w:bCs/>
          <w:color w:val="2E75B6"/>
          <w:sz w:val="26"/>
          <w:szCs w:val="26"/>
        </w:rPr>
        <w:t xml:space="preserve">Rubrica di valutazione — da compilare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0"/>
        <w:gridCol w:w="49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Valutazione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Correttezza giuridica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Pertinenza fonti normative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Qualità giurisprudenza citata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Allucinazioni / errori fattuali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Sì / No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Giurisprudenza mancante rilevante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Note libere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bl>
    <w:p>
      <w:pPr>
        <w:pageBreakBefore/>
        <w:spacing w:after="100" w:before="0"/>
      </w:pPr>
      <w:r>
        <w:rPr>
          <w:rFonts w:ascii="Arial" w:cs="Arial" w:eastAsia="Arial" w:hAnsi="Arial"/>
          <w:b/>
          <w:bCs/>
          <w:color w:val="1F4E79"/>
          <w:sz w:val="26"/>
          <w:szCs w:val="26"/>
        </w:rPr>
        <w:t xml:space="preserve">Scheda 3 di 10 — </w:t>
      </w:r>
      <w:r>
        <w:rPr>
          <w:rFonts w:ascii="Arial" w:cs="Arial" w:eastAsia="Arial" w:hAnsi="Arial"/>
          <w:b/>
          <w:bCs/>
          <w:color w:val="2E75B6"/>
          <w:sz w:val="26"/>
          <w:szCs w:val="26"/>
        </w:rPr>
        <w:t xml:space="preserve">Penale Tributario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Difficoltà: Facile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Norma: D.Lgs. 74/2000 art. 10-ter</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8"/>
                <w:szCs w:val="18"/>
              </w:rPr>
              <w:t xml:space="preserve">Giurisprudenza: 10/10 fonti</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Tempo: 16137 ms</w:t>
            </w:r>
          </w:p>
        </w:tc>
      </w:tr>
    </w:tbl>
    <w:p>
      <w:pPr>
        <w:spacing w:after="0" w:before="120"/>
      </w:pPr>
    </w:p>
    <w:p>
      <w:pPr>
        <w:pBdr>
          <w:bottom w:val="single" w:color="2E75B6" w:sz="8"/>
        </w:pBdr>
        <w:spacing w:after="80" w:before="160"/>
      </w:pPr>
      <w:r>
        <w:rPr>
          <w:rFonts w:ascii="Arial" w:cs="Arial" w:eastAsia="Arial" w:hAnsi="Arial"/>
          <w:b/>
          <w:bCs/>
          <w:color w:val="2E75B6"/>
          <w:sz w:val="26"/>
          <w:szCs w:val="26"/>
        </w:rPr>
        <w:t xml:space="preserve">Scenario (query sottoposta al sistema)</w:t>
      </w:r>
    </w:p>
    <w:p>
      <w:pPr>
        <w:spacing w:after="80" w:before="80"/>
        <w:jc w:val="left"/>
      </w:pPr>
      <w:r>
        <w:rPr>
          <w:rFonts w:ascii="Arial" w:cs="Arial" w:eastAsia="Arial" w:hAnsi="Arial"/>
          <w:b w:val="false"/>
          <w:bCs w:val="false"/>
          <w:i/>
          <w:iCs/>
          <w:color w:val="333333"/>
          <w:sz w:val="21"/>
          <w:szCs w:val="21"/>
        </w:rPr>
        <w:t xml:space="preserve">Qual è la soglia di rilevanza penale e il termine entro cui deve avvenire il versamento IVA per evitare il reato di omesso versamento ex art. 10-ter D.Lgs. 74/2000?</w:t>
      </w:r>
    </w:p>
    <w:p>
      <w:pPr>
        <w:spacing w:after="0" w:before="80"/>
      </w:pPr>
    </w:p>
    <w:p>
      <w:pPr>
        <w:pBdr>
          <w:bottom w:val="single" w:color="2E75B6" w:sz="8"/>
        </w:pBdr>
        <w:spacing w:after="80" w:before="160"/>
      </w:pPr>
      <w:r>
        <w:rPr>
          <w:rFonts w:ascii="Arial" w:cs="Arial" w:eastAsia="Arial" w:hAnsi="Arial"/>
          <w:b/>
          <w:bCs/>
          <w:color w:val="2E75B6"/>
          <w:sz w:val="26"/>
          <w:szCs w:val="26"/>
        </w:rPr>
        <w:t xml:space="preserve">Risposta del sistema</w:t>
      </w:r>
    </w:p>
    <w:p>
      <w:pPr>
        <w:spacing w:after="40" w:before="120"/>
        <w:jc w:val="left"/>
      </w:pPr>
      <w:r>
        <w:rPr>
          <w:rFonts w:ascii="Arial" w:cs="Arial" w:eastAsia="Arial" w:hAnsi="Arial"/>
          <w:b/>
          <w:bCs/>
          <w:i w:val="false"/>
          <w:iCs w:val="false"/>
          <w:color w:val="1F4E79"/>
          <w:sz w:val="21"/>
          <w:szCs w:val="21"/>
        </w:rPr>
        <w:t xml:space="preserve">QUALIFICAZIONE</w:t>
      </w:r>
    </w:p>
    <w:p>
      <w:pPr>
        <w:spacing w:after="30" w:before="40"/>
        <w:ind w:left="360"/>
        <w:jc w:val="left"/>
      </w:pPr>
      <w:r>
        <w:rPr>
          <w:rFonts w:ascii="Arial" w:cs="Arial" w:eastAsia="Arial" w:hAnsi="Arial"/>
          <w:b w:val="false"/>
          <w:bCs w:val="false"/>
          <w:i w:val="false"/>
          <w:iCs w:val="false"/>
          <w:color w:val="222222"/>
          <w:sz w:val="20"/>
          <w:szCs w:val="20"/>
        </w:rPr>
        <w:t xml:space="preserve">La domanda dell'avvocato riguarda la soglia di rilevanza penale e il termine entro cui deve avvenire il versamento IVA per evitare il reato di omesso versamento esposto dall'articolo 10-ter D.Lgs. 74/2000.</w:t>
      </w:r>
    </w:p>
    <w:p>
      <w:pPr>
        <w:spacing w:after="40" w:before="120"/>
        <w:jc w:val="left"/>
      </w:pPr>
      <w:r>
        <w:rPr>
          <w:rFonts w:ascii="Arial" w:cs="Arial" w:eastAsia="Arial" w:hAnsi="Arial"/>
          <w:b/>
          <w:bCs/>
          <w:i w:val="false"/>
          <w:iCs w:val="false"/>
          <w:color w:val="1F4E79"/>
          <w:sz w:val="21"/>
          <w:szCs w:val="21"/>
        </w:rPr>
        <w:t xml:space="preserve">NORMA APPLICABILE</w:t>
      </w:r>
    </w:p>
    <w:p>
      <w:pPr>
        <w:spacing w:after="30" w:before="40"/>
        <w:ind w:left="360"/>
        <w:jc w:val="left"/>
      </w:pPr>
      <w:r>
        <w:rPr>
          <w:rFonts w:ascii="Arial" w:cs="Arial" w:eastAsia="Arial" w:hAnsi="Arial"/>
          <w:b w:val="false"/>
          <w:bCs w:val="false"/>
          <w:i w:val="false"/>
          <w:iCs w:val="false"/>
          <w:color w:val="222222"/>
          <w:sz w:val="20"/>
          <w:szCs w:val="20"/>
        </w:rPr>
        <w:t xml:space="preserve">Il termine entro cui deve avvenire il versamento IVA per evitare il reato di omesso versamento è stabilito dall'articolo 10-ter D.Lgs. 74/2000.</w:t>
      </w:r>
    </w:p>
    <w:p>
      <w:pPr>
        <w:spacing w:after="40" w:before="120"/>
        <w:jc w:val="left"/>
      </w:pPr>
      <w:r>
        <w:rPr>
          <w:rFonts w:ascii="Arial" w:cs="Arial" w:eastAsia="Arial" w:hAnsi="Arial"/>
          <w:b/>
          <w:bCs/>
          <w:i w:val="false"/>
          <w:iCs w:val="false"/>
          <w:color w:val="1F4E79"/>
          <w:sz w:val="21"/>
          <w:szCs w:val="21"/>
        </w:rPr>
        <w:t xml:space="preserve">GIURISPRUDENZA</w:t>
      </w:r>
    </w:p>
    <w:p>
      <w:pPr>
        <w:spacing w:after="30" w:before="40"/>
        <w:ind w:left="360"/>
        <w:jc w:val="left"/>
      </w:pPr>
      <w:r>
        <w:rPr>
          <w:rFonts w:ascii="Arial" w:cs="Arial" w:eastAsia="Arial" w:hAnsi="Arial"/>
          <w:b w:val="false"/>
          <w:bCs w:val="false"/>
          <w:i w:val="false"/>
          <w:iCs w:val="false"/>
          <w:color w:val="222222"/>
          <w:sz w:val="20"/>
          <w:szCs w:val="20"/>
        </w:rPr>
        <w:t xml:space="preserve">Non esistono giurisprudenze specifiche sulla soglia di rilevanza penale e il termine entro cui deve avvenire il versamento IVA per evitare il reato di omesso versamento. Tuttavia, la Cassazione ha interpretato l'articolo 10-ter D.Lgs. 74/2000 in vari casi.</w:t>
      </w:r>
    </w:p>
    <w:p>
      <w:pPr>
        <w:spacing w:after="40" w:before="120"/>
        <w:jc w:val="left"/>
      </w:pPr>
      <w:r>
        <w:rPr>
          <w:rFonts w:ascii="Arial" w:cs="Arial" w:eastAsia="Arial" w:hAnsi="Arial"/>
          <w:b/>
          <w:bCs/>
          <w:i w:val="false"/>
          <w:iCs w:val="false"/>
          <w:color w:val="1F4E79"/>
          <w:sz w:val="21"/>
          <w:szCs w:val="21"/>
        </w:rPr>
        <w:t xml:space="preserve">VALUTAZIONE</w:t>
      </w:r>
    </w:p>
    <w:p>
      <w:pPr>
        <w:spacing w:after="30" w:before="40"/>
        <w:ind w:left="360"/>
        <w:jc w:val="left"/>
      </w:pPr>
      <w:r>
        <w:rPr>
          <w:rFonts w:ascii="Arial" w:cs="Arial" w:eastAsia="Arial" w:hAnsi="Arial"/>
          <w:b w:val="false"/>
          <w:bCs w:val="false"/>
          <w:i w:val="false"/>
          <w:iCs w:val="false"/>
          <w:color w:val="222222"/>
          <w:sz w:val="20"/>
          <w:szCs w:val="20"/>
        </w:rPr>
        <w:t xml:space="preserve">VALUTAZIONE PERSONALE: La valutazione della solidità delle norme e giurisprudenze è alta, ma non ci sono specifiche indicazioni sulla soglia di rilevanza penale.</w:t>
      </w:r>
    </w:p>
    <w:p>
      <w:pPr>
        <w:spacing w:after="40" w:before="120"/>
        <w:jc w:val="left"/>
      </w:pPr>
      <w:r>
        <w:rPr>
          <w:rFonts w:ascii="Arial" w:cs="Arial" w:eastAsia="Arial" w:hAnsi="Arial"/>
          <w:b/>
          <w:bCs/>
          <w:i w:val="false"/>
          <w:iCs w:val="false"/>
          <w:color w:val="1F4E79"/>
          <w:sz w:val="21"/>
          <w:szCs w:val="21"/>
        </w:rPr>
        <w:t xml:space="preserve">GAP ANALYSIS</w:t>
      </w:r>
    </w:p>
    <w:p>
      <w:pPr>
        <w:spacing w:after="30" w:before="40"/>
        <w:ind w:left="360"/>
        <w:jc w:val="left"/>
      </w:pPr>
      <w:r>
        <w:rPr>
          <w:rFonts w:ascii="Arial" w:cs="Arial" w:eastAsia="Arial" w:hAnsi="Arial"/>
          <w:b w:val="false"/>
          <w:bCs w:val="false"/>
          <w:i w:val="false"/>
          <w:iCs w:val="false"/>
          <w:color w:val="222222"/>
          <w:sz w:val="20"/>
          <w:szCs w:val="20"/>
        </w:rPr>
        <w:t xml:space="preserve">Il Packet manca di una specifica definizione della soglia di rilevanza penale per il reato di omesso versamento IVA esposta dall'articolo 10-ter D.Lgs. 74/2000.</w:t>
      </w:r>
    </w:p>
    <w:p>
      <w:pPr>
        <w:spacing w:after="0" w:before="100"/>
      </w:pPr>
    </w:p>
    <w:p>
      <w:pPr>
        <w:pBdr>
          <w:bottom w:val="single" w:color="2E75B6" w:sz="8"/>
        </w:pBdr>
        <w:spacing w:after="80" w:before="160"/>
      </w:pPr>
      <w:r>
        <w:rPr>
          <w:rFonts w:ascii="Arial" w:cs="Arial" w:eastAsia="Arial" w:hAnsi="Arial"/>
          <w:b/>
          <w:bCs/>
          <w:color w:val="2E75B6"/>
          <w:sz w:val="26"/>
          <w:szCs w:val="26"/>
        </w:rPr>
        <w:t xml:space="preserve">Valutazione automatica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Reviewer</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9"/>
                <w:szCs w:val="19"/>
              </w:rPr>
              <w:t xml:space="preserve">PASS → DELIVER</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Confidenza</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7D5A00"/>
                <w:sz w:val="19"/>
                <w:szCs w:val="19"/>
              </w:rPr>
              <w:t xml:space="preserve">MEDIUM</w:t>
            </w:r>
          </w:p>
        </w:tc>
      </w:tr>
    </w:tbl>
    <w:p>
      <w:pPr>
        <w:spacing w:after="0" w:before="80"/>
      </w:pPr>
    </w:p>
    <w:p>
      <w:pPr>
        <w:pBdr>
          <w:bottom w:val="single" w:color="1E7145" w:sz="8"/>
        </w:pBdr>
        <w:spacing w:after="80" w:before="160"/>
      </w:pPr>
      <w:r>
        <w:rPr>
          <w:rFonts w:ascii="Arial" w:cs="Arial" w:eastAsia="Arial" w:hAnsi="Arial"/>
          <w:b/>
          <w:bCs/>
          <w:color w:val="1E7145"/>
          <w:sz w:val="26"/>
          <w:szCs w:val="26"/>
        </w:rPr>
        <w:t xml:space="preserve">Fonti giurisprudenziali citate</w:t>
      </w:r>
    </w:p>
    <w:p>
      <w:pPr>
        <w:spacing w:after="80" w:before="60"/>
        <w:jc w:val="left"/>
      </w:pPr>
      <w:r>
        <w:rPr>
          <w:rFonts w:ascii="Arial" w:cs="Arial" w:eastAsia="Arial" w:hAnsi="Arial"/>
          <w:b w:val="false"/>
          <w:bCs w:val="false"/>
          <w:i/>
          <w:iCs/>
          <w:color w:val="1E7145"/>
          <w:sz w:val="19"/>
          <w:szCs w:val="19"/>
        </w:rPr>
        <w:t xml:space="preserve">Il sistema ha recuperato 10 sentenze dalla knowledge base giurisprudenziale.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700"/>
        <w:gridCol w:w="36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ID / Organo</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Estratto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n.39154/2025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-3.034</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 seguente SENTENZA sul ricorso proposto da Aversa De Fazio Antonio, nato a Melissa il 28/2/1962 avverso la sentenza del 8/1/2025 della Corte d'appello di Catanzaro visti gli atti, il provvedimento 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n.7529/2026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-3.304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 la seguente Sul ricorso proposto da: Manunta Angelina, nata a Sassari il 08/09/1934, avverso la sentenza del 17/04/2025 della Corte di appello di Cagliari, Sezione distaccata di Sassari; visti gli a</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n.16949/2026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-3.477</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Maria, nato a Pavia il 27/09/1962 avverso la sentenza del 17/10/2025 della Corte di appello di Milano visti gli atti, il provvedimento impugnato e il ricorso; udita la relazione svolta dal consigliere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n.37396/2025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-5.213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PDFBox: REPUBBLICA ITALIANA In nome del Popolo Italiano LA CORTE SUPREMA DI CASSAZIONE TERZA SEZIONE PENALE Composta da Aldo Aceto - Presidente - Sent. n. 1415/2025 Emanuela Gai - Relatore - UP – 01/1</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n.41557/2025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-5.255</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 la seguente Sul ricorso proposto da: Giaffreda Donato, nato a Genk (Belgio) il 07/06/1953, avverso la sentenza dell’11/11/2024 della Corte di appello di Lecce; visti gli atti, il provvedimento impug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n.35034/2025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-5.661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 la seguente SENTENZA sul ricorso proposto da: De Simone Vincenzo, nato a Napoli il 01/01/1951 avverso la sentenza del 17/10/2024 della Corte di appello di Napoli visti gli atti, il provvedimento im</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n.35938/2025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-6.073</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 la seguente Sul ricorso presentato da: Federico Carmela, nata a Scilla il 30/04/1966, avverso la sentenza del 17/02/2025 della Corte di appello di Napoli visti gli atti, il provvedimento impugnato 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n.6133/2026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-6.082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seguente SENTENZA sul ricorso proposto da Procuratore Generale presso la Corte d'appello di Brescia nel procedimento nei confronti di Orsiní Marco, nato a Santa Maria Capua Vetere il 10/1/1994 avverso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n.37975/2025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-6.17</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 seguente SENTENZA sul ricorso proposto da Martiradonna Giovanni, nato a Castellana Grotte (BA), il 07/02/1975 avverso la sentenza del 20/12/2024 della Corte di appello di Potenza; visti gli atti, il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n.1915/2025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-6.22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 seguente SENTENZA sul ricorso proposto da Cavicchi Cristiano, nato a Roma il 27/05/1970, avverso la sentenza del 17/01/2025 della Corte di appello di Bologna; visti gli atti, il provvedimento impug</w:t>
            </w:r>
          </w:p>
        </w:tc>
      </w:tr>
    </w:tbl>
    <w:p>
      <w:pPr>
        <w:spacing w:after="0" w:before="80"/>
      </w:pPr>
    </w:p>
    <w:p>
      <w:pPr>
        <w:pBdr>
          <w:bottom w:val="single" w:color="2E75B6" w:sz="8"/>
        </w:pBdr>
        <w:spacing w:after="80" w:before="160"/>
      </w:pPr>
      <w:r>
        <w:rPr>
          <w:rFonts w:ascii="Arial" w:cs="Arial" w:eastAsia="Arial" w:hAnsi="Arial"/>
          <w:b/>
          <w:bCs/>
          <w:color w:val="2E75B6"/>
          <w:sz w:val="26"/>
          <w:szCs w:val="26"/>
        </w:rPr>
        <w:t xml:space="preserve">Rubrica di valutazione — da compilare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0"/>
        <w:gridCol w:w="49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Valutazione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Correttezza giuridica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Pertinenza fonti normative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Qualità giurisprudenza citata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Allucinazioni / errori fattuali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Sì / No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Giurisprudenza mancante rilevante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Note libere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bl>
    <w:p>
      <w:pPr>
        <w:pageBreakBefore/>
        <w:spacing w:after="100" w:before="0"/>
      </w:pPr>
      <w:r>
        <w:rPr>
          <w:rFonts w:ascii="Arial" w:cs="Arial" w:eastAsia="Arial" w:hAnsi="Arial"/>
          <w:b/>
          <w:bCs/>
          <w:color w:val="1F4E79"/>
          <w:sz w:val="26"/>
          <w:szCs w:val="26"/>
        </w:rPr>
        <w:t xml:space="preserve">Scheda 4 di 10 — </w:t>
      </w:r>
      <w:r>
        <w:rPr>
          <w:rFonts w:ascii="Arial" w:cs="Arial" w:eastAsia="Arial" w:hAnsi="Arial"/>
          <w:b/>
          <w:bCs/>
          <w:color w:val="2E75B6"/>
          <w:sz w:val="26"/>
          <w:szCs w:val="26"/>
        </w:rPr>
        <w:t xml:space="preserve">Penale Tributario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Difficoltà: Media</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Norma: D.Lgs. 74/2000 art. 10-quater</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8"/>
                <w:szCs w:val="18"/>
              </w:rPr>
              <w:t xml:space="preserve">Giurisprudenza: 10/10 fonti</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Tempo: 49230 ms</w:t>
            </w:r>
          </w:p>
        </w:tc>
      </w:tr>
    </w:tbl>
    <w:p>
      <w:pPr>
        <w:spacing w:after="0" w:before="120"/>
      </w:pPr>
    </w:p>
    <w:p>
      <w:pPr>
        <w:pBdr>
          <w:bottom w:val="single" w:color="2E75B6" w:sz="8"/>
        </w:pBdr>
        <w:spacing w:after="80" w:before="160"/>
      </w:pPr>
      <w:r>
        <w:rPr>
          <w:rFonts w:ascii="Arial" w:cs="Arial" w:eastAsia="Arial" w:hAnsi="Arial"/>
          <w:b/>
          <w:bCs/>
          <w:color w:val="2E75B6"/>
          <w:sz w:val="26"/>
          <w:szCs w:val="26"/>
        </w:rPr>
        <w:t xml:space="preserve">Scenario (query sottoposta al sistema)</w:t>
      </w:r>
    </w:p>
    <w:p>
      <w:pPr>
        <w:spacing w:after="80" w:before="80"/>
        <w:jc w:val="left"/>
      </w:pPr>
      <w:r>
        <w:rPr>
          <w:rFonts w:ascii="Arial" w:cs="Arial" w:eastAsia="Arial" w:hAnsi="Arial"/>
          <w:b w:val="false"/>
          <w:bCs w:val="false"/>
          <w:i/>
          <w:iCs/>
          <w:color w:val="333333"/>
          <w:sz w:val="21"/>
          <w:szCs w:val="21"/>
        </w:rPr>
        <w:t xml:space="preserve">Qual è la differenza tra crediti inesistenti e crediti non spettanti nella fattispecie di indebita compensazione ex art. 10-quater D.Lgs. 74/2000 e quali sono le rispettive soglie di punibilità?</w:t>
      </w:r>
    </w:p>
    <w:p>
      <w:pPr>
        <w:spacing w:after="0" w:before="80"/>
      </w:pPr>
    </w:p>
    <w:p>
      <w:pPr>
        <w:pBdr>
          <w:bottom w:val="single" w:color="2E75B6" w:sz="8"/>
        </w:pBdr>
        <w:spacing w:after="80" w:before="160"/>
      </w:pPr>
      <w:r>
        <w:rPr>
          <w:rFonts w:ascii="Arial" w:cs="Arial" w:eastAsia="Arial" w:hAnsi="Arial"/>
          <w:b/>
          <w:bCs/>
          <w:color w:val="2E75B6"/>
          <w:sz w:val="26"/>
          <w:szCs w:val="26"/>
        </w:rPr>
        <w:t xml:space="preserve">Risposta del sistema</w:t>
      </w:r>
    </w:p>
    <w:p>
      <w:pPr>
        <w:spacing w:after="40" w:before="120"/>
        <w:jc w:val="left"/>
      </w:pPr>
      <w:r>
        <w:rPr>
          <w:rFonts w:ascii="Arial" w:cs="Arial" w:eastAsia="Arial" w:hAnsi="Arial"/>
          <w:b/>
          <w:bCs/>
          <w:i w:val="false"/>
          <w:iCs w:val="false"/>
          <w:color w:val="1F4E79"/>
          <w:sz w:val="21"/>
          <w:szCs w:val="21"/>
        </w:rPr>
        <w:t xml:space="preserve">QUALIFICAZIONE</w:t>
      </w:r>
    </w:p>
    <w:p>
      <w:pPr>
        <w:spacing w:after="30" w:before="40"/>
        <w:ind w:left="360"/>
        <w:jc w:val="left"/>
      </w:pPr>
      <w:r>
        <w:rPr>
          <w:rFonts w:ascii="Arial" w:cs="Arial" w:eastAsia="Arial" w:hAnsi="Arial"/>
          <w:b w:val="false"/>
          <w:bCs w:val="false"/>
          <w:i w:val="false"/>
          <w:iCs w:val="false"/>
          <w:color w:val="222222"/>
          <w:sz w:val="20"/>
          <w:szCs w:val="20"/>
        </w:rPr>
        <w:t xml:space="preserve">Nella fattispecie si tratta di una domanda sull'indebita compensazione espressa dall'art. 10-quater D.Lgs. 74/2000, in cui si chiede la differenza tra crediti inesistenti e crediti non spettanti.</w:t>
      </w:r>
    </w:p>
    <w:p>
      <w:pPr>
        <w:spacing w:after="40" w:before="120"/>
        <w:jc w:val="left"/>
      </w:pPr>
      <w:r>
        <w:rPr>
          <w:rFonts w:ascii="Arial" w:cs="Arial" w:eastAsia="Arial" w:hAnsi="Arial"/>
          <w:b/>
          <w:bCs/>
          <w:i w:val="false"/>
          <w:iCs w:val="false"/>
          <w:color w:val="1F4E79"/>
          <w:sz w:val="21"/>
          <w:szCs w:val="21"/>
        </w:rPr>
        <w:t xml:space="preserve">NORMA APPLICABILE</w:t>
      </w:r>
    </w:p>
    <w:p>
      <w:pPr>
        <w:spacing w:after="30" w:before="40"/>
        <w:ind w:left="360"/>
        <w:jc w:val="left"/>
      </w:pPr>
      <w:r>
        <w:rPr>
          <w:rFonts w:ascii="Arial" w:cs="Arial" w:eastAsia="Arial" w:hAnsi="Arial"/>
          <w:b w:val="false"/>
          <w:bCs w:val="false"/>
          <w:i w:val="false"/>
          <w:iCs w:val="false"/>
          <w:color w:val="222222"/>
          <w:sz w:val="20"/>
          <w:szCs w:val="20"/>
        </w:rPr>
        <w:t xml:space="preserve">L'art. 10-quater D.Lgs. 74/2000 regola l'indebita compensazione.</w:t>
      </w:r>
    </w:p>
    <w:p>
      <w:pPr>
        <w:spacing w:after="40" w:before="120"/>
        <w:jc w:val="left"/>
      </w:pPr>
      <w:r>
        <w:rPr>
          <w:rFonts w:ascii="Arial" w:cs="Arial" w:eastAsia="Arial" w:hAnsi="Arial"/>
          <w:b/>
          <w:bCs/>
          <w:i w:val="false"/>
          <w:iCs w:val="false"/>
          <w:color w:val="1F4E79"/>
          <w:sz w:val="21"/>
          <w:szCs w:val="21"/>
        </w:rPr>
        <w:t xml:space="preserve">GIURISPRUDENZA</w:t>
      </w:r>
    </w:p>
    <w:p>
      <w:pPr>
        <w:spacing w:after="30" w:before="40"/>
        <w:ind w:left="360"/>
        <w:jc w:val="left"/>
      </w:pPr>
      <w:r>
        <w:rPr>
          <w:rFonts w:ascii="Arial" w:cs="Arial" w:eastAsia="Arial" w:hAnsi="Arial"/>
          <w:b w:val="false"/>
          <w:bCs w:val="false"/>
          <w:i w:val="false"/>
          <w:iCs w:val="false"/>
          <w:color w:val="222222"/>
          <w:sz w:val="20"/>
          <w:szCs w:val="20"/>
        </w:rPr>
        <w:t xml:space="preserve">La giurisprudenza della Cassazione evidenzia che i crediti inesistenti e quelli non spettanti sono trattati diversamente. I primi riguardano una situazione in cui il credito non esiste, mentre gli ultimi si riferiscono a un errore di attribuzione del debito.</w:t>
      </w:r>
    </w:p>
    <w:p>
      <w:pPr>
        <w:spacing w:after="40" w:before="120"/>
        <w:jc w:val="left"/>
      </w:pPr>
      <w:r>
        <w:rPr>
          <w:rFonts w:ascii="Arial" w:cs="Arial" w:eastAsia="Arial" w:hAnsi="Arial"/>
          <w:b/>
          <w:bCs/>
          <w:i w:val="false"/>
          <w:iCs w:val="false"/>
          <w:color w:val="1F4E79"/>
          <w:sz w:val="21"/>
          <w:szCs w:val="21"/>
        </w:rPr>
        <w:t xml:space="preserve">VALUTAZIONE</w:t>
      </w:r>
    </w:p>
    <w:p>
      <w:pPr>
        <w:spacing w:after="30" w:before="40"/>
        <w:ind w:left="360"/>
        <w:jc w:val="left"/>
      </w:pPr>
      <w:r>
        <w:rPr>
          <w:rFonts w:ascii="Arial" w:cs="Arial" w:eastAsia="Arial" w:hAnsi="Arial"/>
          <w:b w:val="false"/>
          <w:bCs w:val="false"/>
          <w:i w:val="false"/>
          <w:iCs w:val="false"/>
          <w:color w:val="222222"/>
          <w:sz w:val="20"/>
          <w:szCs w:val="20"/>
        </w:rPr>
        <w:t xml:space="preserve">La giurisprudenza è chiara nel distinguere tra crediti inesistenti e non spettanti, ma la valutazione della punibilità di queste situazioni richiede una maggiore analisi normativa.</w:t>
      </w:r>
    </w:p>
    <w:p>
      <w:pPr>
        <w:spacing w:after="40" w:before="120"/>
        <w:jc w:val="left"/>
      </w:pPr>
      <w:r>
        <w:rPr>
          <w:rFonts w:ascii="Arial" w:cs="Arial" w:eastAsia="Arial" w:hAnsi="Arial"/>
          <w:b/>
          <w:bCs/>
          <w:i w:val="false"/>
          <w:iCs w:val="false"/>
          <w:color w:val="1F4E79"/>
          <w:sz w:val="21"/>
          <w:szCs w:val="21"/>
        </w:rPr>
        <w:t xml:space="preserve">GAP ANALYSIS</w:t>
      </w:r>
    </w:p>
    <w:p>
      <w:pPr>
        <w:spacing w:after="30" w:before="40"/>
        <w:ind w:left="360"/>
        <w:jc w:val="left"/>
      </w:pPr>
      <w:r>
        <w:rPr>
          <w:rFonts w:ascii="Arial" w:cs="Arial" w:eastAsia="Arial" w:hAnsi="Arial"/>
          <w:b w:val="false"/>
          <w:bCs w:val="false"/>
          <w:i w:val="false"/>
          <w:iCs w:val="false"/>
          <w:color w:val="222222"/>
          <w:sz w:val="20"/>
          <w:szCs w:val="20"/>
        </w:rPr>
        <w:t xml:space="preserve">Il Packet manca di una specifica norma che definisca chiaramente la differenza tra crediti inesistenti e non spettanti, oltre a mancare di un articolo o comma specifico dell'art. 10-quater D.Lgs. 74/2000.</w:t>
      </w:r>
    </w:p>
    <w:p>
      <w:pPr>
        <w:spacing w:after="0" w:before="100"/>
      </w:pPr>
    </w:p>
    <w:p>
      <w:pPr>
        <w:pBdr>
          <w:bottom w:val="single" w:color="2E75B6" w:sz="8"/>
        </w:pBdr>
        <w:spacing w:after="80" w:before="160"/>
      </w:pPr>
      <w:r>
        <w:rPr>
          <w:rFonts w:ascii="Arial" w:cs="Arial" w:eastAsia="Arial" w:hAnsi="Arial"/>
          <w:b/>
          <w:bCs/>
          <w:color w:val="2E75B6"/>
          <w:sz w:val="26"/>
          <w:szCs w:val="26"/>
        </w:rPr>
        <w:t xml:space="preserve">Valutazione automatica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Reviewer</w:t>
            </w:r>
          </w:p>
        </w:tc>
        <w:tc>
          <w:tcPr>
            <w:tcW w:type="dxa" w:w="224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FAIL → RE_RETRIEVAL</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Confidenza</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7D5A00"/>
                <w:sz w:val="19"/>
                <w:szCs w:val="19"/>
              </w:rPr>
              <w:t xml:space="preserve">MEDIUM</w:t>
            </w:r>
          </w:p>
        </w:tc>
      </w:tr>
    </w:tbl>
    <w:p>
      <w:pPr>
        <w:spacing w:after="0" w:before="80"/>
      </w:pPr>
    </w:p>
    <w:p>
      <w:pPr>
        <w:pBdr>
          <w:bottom w:val="single" w:color="1E7145" w:sz="8"/>
        </w:pBdr>
        <w:spacing w:after="80" w:before="160"/>
      </w:pPr>
      <w:r>
        <w:rPr>
          <w:rFonts w:ascii="Arial" w:cs="Arial" w:eastAsia="Arial" w:hAnsi="Arial"/>
          <w:b/>
          <w:bCs/>
          <w:color w:val="1E7145"/>
          <w:sz w:val="26"/>
          <w:szCs w:val="26"/>
        </w:rPr>
        <w:t xml:space="preserve">Fonti giurisprudenziali citate</w:t>
      </w:r>
    </w:p>
    <w:p>
      <w:pPr>
        <w:spacing w:after="80" w:before="60"/>
        <w:jc w:val="left"/>
      </w:pPr>
      <w:r>
        <w:rPr>
          <w:rFonts w:ascii="Arial" w:cs="Arial" w:eastAsia="Arial" w:hAnsi="Arial"/>
          <w:b w:val="false"/>
          <w:bCs w:val="false"/>
          <w:i/>
          <w:iCs/>
          <w:color w:val="1E7145"/>
          <w:sz w:val="19"/>
          <w:szCs w:val="19"/>
        </w:rPr>
        <w:t xml:space="preserve">Il sistema ha recuperato 10 sentenze dalla knowledge base giurisprudenziale.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700"/>
        <w:gridCol w:w="36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ID / Organo</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Estratto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n.11073/2026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1.074</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di un patrimonio residuo di ben 100.000.000,00 dieuro, nonché la sussistenza di un’esposizione debitoria verso l’Erario bendiversa dall’abnorme cifra erroneamente indicata dal creditoreprocedente .E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n.14367/2026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0.858</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del giudice regionalerisulta conforme al diritto.Infatti, le ragioni del contribuente non trovano accoglimento, perché nelcaso di specie si trattava di un credito insorto sin dal 2010, e nei quattroan</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n.29435/2025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-1.772</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che si verifica quando, a seguito del compimento dello stesso da parte del debitore (e salvo il caso, nella specie neppure prospettato, della dolosa preordinazione dell’atto a danneggiare i crediti no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n.23834/2025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-1.934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non essendo sufficiente la sola esistenza di un contratto di cessione in blocco. 1.3.Nel caso di specie, come sopra evidenziato, è stato in maniera congrua ed ineccepibile accertato in fatto, e non </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n.31717/2025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-2.209</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è stata dichiarata la prescrizione di tutti i crediti contributivi portati dall’avviso di addebito n. 33020160001995523. Infine, risulta dagli atti di causa che l’avviso di addebito era emesso non 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n.23193/2025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-2.355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2.9. Tale pregiudizio, in particolare, si verifica tutte le volte in cui, a seguito del compimento dell’atto dispositivo da parte del debitore (e salvo il caso della dolosa preordinazione dell’atto </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n.18588/2025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-2.668</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oggetto di revocatoria è anteriore al sorgere del credito, il quale non può dirsi sia sorto con la semplice raccomandata di contestazione dei vizi. Con la conseguenza che tale anteriorità si riflette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n.3056/2026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-2.824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giacché sela sua esistenza non fosse rilevata si avrebbe una decisione sostanzialmente ingiusta» (Cass. 18360/2022 cit.). In questa direzione si registra un revirementin tema di “concorso del fatto </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n.26845/2025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-2.864</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rispetto al credito e sulla sua onerosità. Contestuale Violazione e falsa applicazione dell'art. 2729 c.c.; VIII Motivo: - art. 360 c. 1 n. 3 cpc Violazione e falsa applicazione dei presupposti di cui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n.17638/2025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-2.961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essendo, piuttosto, incardinata intorno ai due presupposti dell’eventus damni e della scientia , partecipatio e consilium fraudis (oltre, che naturalmente, alle due precondizioni fattuali dell’esist</w:t>
            </w:r>
          </w:p>
        </w:tc>
      </w:tr>
    </w:tbl>
    <w:p>
      <w:pPr>
        <w:spacing w:after="0" w:before="80"/>
      </w:pPr>
    </w:p>
    <w:p>
      <w:pPr>
        <w:pBdr>
          <w:bottom w:val="single" w:color="2E75B6" w:sz="8"/>
        </w:pBdr>
        <w:spacing w:after="80" w:before="160"/>
      </w:pPr>
      <w:r>
        <w:rPr>
          <w:rFonts w:ascii="Arial" w:cs="Arial" w:eastAsia="Arial" w:hAnsi="Arial"/>
          <w:b/>
          <w:bCs/>
          <w:color w:val="2E75B6"/>
          <w:sz w:val="26"/>
          <w:szCs w:val="26"/>
        </w:rPr>
        <w:t xml:space="preserve">Rubrica di valutazione — da compilare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0"/>
        <w:gridCol w:w="49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Valutazione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Correttezza giuridica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Pertinenza fonti normative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Qualità giurisprudenza citata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Allucinazioni / errori fattuali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Sì / No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Giurisprudenza mancante rilevante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Note libere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bl>
    <w:p>
      <w:pPr>
        <w:pageBreakBefore/>
        <w:spacing w:after="100" w:before="0"/>
      </w:pPr>
      <w:r>
        <w:rPr>
          <w:rFonts w:ascii="Arial" w:cs="Arial" w:eastAsia="Arial" w:hAnsi="Arial"/>
          <w:b/>
          <w:bCs/>
          <w:color w:val="1F4E79"/>
          <w:sz w:val="26"/>
          <w:szCs w:val="26"/>
        </w:rPr>
        <w:t xml:space="preserve">Scheda 5 di 10 — </w:t>
      </w:r>
      <w:r>
        <w:rPr>
          <w:rFonts w:ascii="Arial" w:cs="Arial" w:eastAsia="Arial" w:hAnsi="Arial"/>
          <w:b/>
          <w:bCs/>
          <w:color w:val="2E75B6"/>
          <w:sz w:val="26"/>
          <w:szCs w:val="26"/>
        </w:rPr>
        <w:t xml:space="preserve">Penale Tributario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Difficoltà: Media</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Norma: D.Lgs. 74/2000 artt. 13-13bis</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8"/>
                <w:szCs w:val="18"/>
              </w:rPr>
              <w:t xml:space="preserve">Giurisprudenza: 10/10 fonti</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Tempo: 30906 ms</w:t>
            </w:r>
          </w:p>
        </w:tc>
      </w:tr>
    </w:tbl>
    <w:p>
      <w:pPr>
        <w:spacing w:after="0" w:before="120"/>
      </w:pPr>
    </w:p>
    <w:p>
      <w:pPr>
        <w:pBdr>
          <w:bottom w:val="single" w:color="2E75B6" w:sz="8"/>
        </w:pBdr>
        <w:spacing w:after="80" w:before="160"/>
      </w:pPr>
      <w:r>
        <w:rPr>
          <w:rFonts w:ascii="Arial" w:cs="Arial" w:eastAsia="Arial" w:hAnsi="Arial"/>
          <w:b/>
          <w:bCs/>
          <w:color w:val="2E75B6"/>
          <w:sz w:val="26"/>
          <w:szCs w:val="26"/>
        </w:rPr>
        <w:t xml:space="preserve">Scenario (query sottoposta al sistema)</w:t>
      </w:r>
    </w:p>
    <w:p>
      <w:pPr>
        <w:spacing w:after="80" w:before="80"/>
        <w:jc w:val="left"/>
      </w:pPr>
      <w:r>
        <w:rPr>
          <w:rFonts w:ascii="Arial" w:cs="Arial" w:eastAsia="Arial" w:hAnsi="Arial"/>
          <w:b w:val="false"/>
          <w:bCs w:val="false"/>
          <w:i/>
          <w:iCs/>
          <w:color w:val="333333"/>
          <w:sz w:val="21"/>
          <w:szCs w:val="21"/>
        </w:rPr>
        <w:t xml:space="preserve">Quando il ravvedimento operoso e il pagamento del debito tributario costituiscono causa di non punibilità dei reati tributari ai sensi degli artt. 13 e 13-bis del D.Lgs. 74/2000?</w:t>
      </w:r>
    </w:p>
    <w:p>
      <w:pPr>
        <w:spacing w:after="0" w:before="80"/>
      </w:pPr>
    </w:p>
    <w:p>
      <w:pPr>
        <w:pBdr>
          <w:bottom w:val="single" w:color="2E75B6" w:sz="8"/>
        </w:pBdr>
        <w:spacing w:after="80" w:before="160"/>
      </w:pPr>
      <w:r>
        <w:rPr>
          <w:rFonts w:ascii="Arial" w:cs="Arial" w:eastAsia="Arial" w:hAnsi="Arial"/>
          <w:b/>
          <w:bCs/>
          <w:color w:val="2E75B6"/>
          <w:sz w:val="26"/>
          <w:szCs w:val="26"/>
        </w:rPr>
        <w:t xml:space="preserve">Risposta del sistema</w:t>
      </w:r>
    </w:p>
    <w:p>
      <w:pPr>
        <w:spacing w:after="40" w:before="120"/>
        <w:jc w:val="left"/>
      </w:pPr>
      <w:r>
        <w:rPr>
          <w:rFonts w:ascii="Arial" w:cs="Arial" w:eastAsia="Arial" w:hAnsi="Arial"/>
          <w:b/>
          <w:bCs/>
          <w:i w:val="false"/>
          <w:iCs w:val="false"/>
          <w:color w:val="1F4E79"/>
          <w:sz w:val="21"/>
          <w:szCs w:val="21"/>
        </w:rPr>
        <w:t xml:space="preserve">QUALIFICAZIONE</w:t>
      </w:r>
    </w:p>
    <w:p>
      <w:pPr>
        <w:spacing w:after="30" w:before="40"/>
        <w:ind w:left="360"/>
        <w:jc w:val="left"/>
      </w:pPr>
      <w:r>
        <w:rPr>
          <w:rFonts w:ascii="Arial" w:cs="Arial" w:eastAsia="Arial" w:hAnsi="Arial"/>
          <w:b w:val="false"/>
          <w:bCs w:val="false"/>
          <w:i w:val="false"/>
          <w:iCs w:val="false"/>
          <w:color w:val="222222"/>
          <w:sz w:val="20"/>
          <w:szCs w:val="20"/>
        </w:rPr>
        <w:t xml:space="preserve">Il ravvedimento operoso e il pagamento del debito tributario costituiscono causa di non punibilità dei reati tributari ai sensi degli artt. 13 e 13-bis del D.Lgs. 74/2000.</w:t>
      </w:r>
    </w:p>
    <w:p>
      <w:pPr>
        <w:spacing w:after="40" w:before="120"/>
        <w:jc w:val="left"/>
      </w:pPr>
      <w:r>
        <w:rPr>
          <w:rFonts w:ascii="Arial" w:cs="Arial" w:eastAsia="Arial" w:hAnsi="Arial"/>
          <w:b/>
          <w:bCs/>
          <w:i w:val="false"/>
          <w:iCs w:val="false"/>
          <w:color w:val="1F4E79"/>
          <w:sz w:val="21"/>
          <w:szCs w:val="21"/>
        </w:rPr>
        <w:t xml:space="preserve">NORMA APPLICABILE</w:t>
      </w:r>
    </w:p>
    <w:p>
      <w:pPr>
        <w:spacing w:after="30" w:before="40"/>
        <w:ind w:left="360"/>
        <w:jc w:val="left"/>
      </w:pPr>
      <w:r>
        <w:rPr>
          <w:rFonts w:ascii="Arial" w:cs="Arial" w:eastAsia="Arial" w:hAnsi="Arial"/>
          <w:b w:val="false"/>
          <w:bCs w:val="false"/>
          <w:i w:val="false"/>
          <w:iCs w:val="false"/>
          <w:color w:val="222222"/>
          <w:sz w:val="20"/>
          <w:szCs w:val="20"/>
        </w:rPr>
        <w:t xml:space="preserve">Artt. 13 e 13-bis del D.Lgs. 74/2000.</w:t>
      </w:r>
    </w:p>
    <w:p>
      <w:pPr>
        <w:spacing w:after="40" w:before="120"/>
        <w:jc w:val="left"/>
      </w:pPr>
      <w:r>
        <w:rPr>
          <w:rFonts w:ascii="Arial" w:cs="Arial" w:eastAsia="Arial" w:hAnsi="Arial"/>
          <w:b/>
          <w:bCs/>
          <w:i w:val="false"/>
          <w:iCs w:val="false"/>
          <w:color w:val="1F4E79"/>
          <w:sz w:val="21"/>
          <w:szCs w:val="21"/>
        </w:rPr>
        <w:t xml:space="preserve">GIURISPRUDENZA</w:t>
      </w:r>
    </w:p>
    <w:p>
      <w:pPr>
        <w:spacing w:after="30" w:before="40"/>
        <w:ind w:left="360"/>
        <w:jc w:val="left"/>
      </w:pPr>
      <w:r>
        <w:rPr>
          <w:rFonts w:ascii="Arial" w:cs="Arial" w:eastAsia="Arial" w:hAnsi="Arial"/>
          <w:b w:val="false"/>
          <w:bCs w:val="false"/>
          <w:i w:val="false"/>
          <w:iCs w:val="false"/>
          <w:color w:val="222222"/>
          <w:sz w:val="20"/>
          <w:szCs w:val="20"/>
        </w:rPr>
        <w:t xml:space="preserve">Non ci sono specifiche citazioni di giurisprudenza che siano direttamente rilevanti per la domanda. Tuttavia, le sentenze riportate mostrano un orientamento generale sulla non punibilità in caso di ravvedimento operoso e pagamento del debito.</w:t>
      </w:r>
    </w:p>
    <w:p>
      <w:pPr>
        <w:spacing w:after="40" w:before="120"/>
        <w:jc w:val="left"/>
      </w:pPr>
      <w:r>
        <w:rPr>
          <w:rFonts w:ascii="Arial" w:cs="Arial" w:eastAsia="Arial" w:hAnsi="Arial"/>
          <w:b/>
          <w:bCs/>
          <w:i w:val="false"/>
          <w:iCs w:val="false"/>
          <w:color w:val="1F4E79"/>
          <w:sz w:val="21"/>
          <w:szCs w:val="21"/>
        </w:rPr>
        <w:t xml:space="preserve">VALUTAZIONE</w:t>
      </w:r>
    </w:p>
    <w:p>
      <w:pPr>
        <w:spacing w:after="30" w:before="40"/>
        <w:ind w:left="360"/>
        <w:jc w:val="left"/>
      </w:pPr>
      <w:r>
        <w:rPr>
          <w:rFonts w:ascii="Arial" w:cs="Arial" w:eastAsia="Arial" w:hAnsi="Arial"/>
          <w:b w:val="false"/>
          <w:bCs w:val="false"/>
          <w:i w:val="false"/>
          <w:iCs w:val="false"/>
          <w:color w:val="222222"/>
          <w:sz w:val="20"/>
          <w:szCs w:val="20"/>
        </w:rPr>
        <w:t xml:space="preserve">VALUTAZIONE PERSONALE: L'orientamento generale della giurisprudenza suggerisce che il ravvedimento operoso e il pagamento del debito tributario costituiscono causa di non punibilità, ma non ci sono specifiche citazioni direttamente rilevanti per la domanda. La valutazione è di tipo ALTA.</w:t>
      </w:r>
    </w:p>
    <w:p>
      <w:pPr>
        <w:spacing w:after="40" w:before="120"/>
        <w:jc w:val="left"/>
      </w:pPr>
      <w:r>
        <w:rPr>
          <w:rFonts w:ascii="Arial" w:cs="Arial" w:eastAsia="Arial" w:hAnsi="Arial"/>
          <w:b/>
          <w:bCs/>
          <w:i w:val="false"/>
          <w:iCs w:val="false"/>
          <w:color w:val="1F4E79"/>
          <w:sz w:val="21"/>
          <w:szCs w:val="21"/>
        </w:rPr>
        <w:t xml:space="preserve">GAP ANALYSIS</w:t>
      </w:r>
    </w:p>
    <w:p>
      <w:pPr>
        <w:spacing w:after="30" w:before="40"/>
        <w:ind w:left="360"/>
        <w:jc w:val="left"/>
      </w:pPr>
      <w:r>
        <w:rPr>
          <w:rFonts w:ascii="Arial" w:cs="Arial" w:eastAsia="Arial" w:hAnsi="Arial"/>
          <w:b w:val="false"/>
          <w:bCs w:val="false"/>
          <w:i w:val="false"/>
          <w:iCs w:val="false"/>
          <w:color w:val="222222"/>
          <w:sz w:val="20"/>
          <w:szCs w:val="20"/>
        </w:rPr>
        <w:t xml:space="preserve">Il Packet manca di una citazione diretta dell'articolo 13 e 13-bis del D.Lgs. 74/2000, che è la norma applicabile alla domanda.</w:t>
      </w:r>
    </w:p>
    <w:p>
      <w:pPr>
        <w:spacing w:after="0" w:before="100"/>
      </w:pPr>
    </w:p>
    <w:p>
      <w:pPr>
        <w:pBdr>
          <w:bottom w:val="single" w:color="2E75B6" w:sz="8"/>
        </w:pBdr>
        <w:spacing w:after="80" w:before="160"/>
      </w:pPr>
      <w:r>
        <w:rPr>
          <w:rFonts w:ascii="Arial" w:cs="Arial" w:eastAsia="Arial" w:hAnsi="Arial"/>
          <w:b/>
          <w:bCs/>
          <w:color w:val="2E75B6"/>
          <w:sz w:val="26"/>
          <w:szCs w:val="26"/>
        </w:rPr>
        <w:t xml:space="preserve">Valutazione automatica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Reviewer</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9"/>
                <w:szCs w:val="19"/>
              </w:rPr>
              <w:t xml:space="preserve">PASS → DELIVER</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Confidenza</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E7145"/>
                <w:sz w:val="19"/>
                <w:szCs w:val="19"/>
              </w:rPr>
              <w:t xml:space="preserve">HIGH</w:t>
            </w:r>
          </w:p>
        </w:tc>
      </w:tr>
    </w:tbl>
    <w:p>
      <w:pPr>
        <w:spacing w:after="0" w:before="80"/>
      </w:pPr>
    </w:p>
    <w:p>
      <w:pPr>
        <w:pBdr>
          <w:bottom w:val="single" w:color="1E7145" w:sz="8"/>
        </w:pBdr>
        <w:spacing w:after="80" w:before="160"/>
      </w:pPr>
      <w:r>
        <w:rPr>
          <w:rFonts w:ascii="Arial" w:cs="Arial" w:eastAsia="Arial" w:hAnsi="Arial"/>
          <w:b/>
          <w:bCs/>
          <w:color w:val="1E7145"/>
          <w:sz w:val="26"/>
          <w:szCs w:val="26"/>
        </w:rPr>
        <w:t xml:space="preserve">Fonti giurisprudenziali citate</w:t>
      </w:r>
    </w:p>
    <w:p>
      <w:pPr>
        <w:spacing w:after="80" w:before="60"/>
        <w:jc w:val="left"/>
      </w:pPr>
      <w:r>
        <w:rPr>
          <w:rFonts w:ascii="Arial" w:cs="Arial" w:eastAsia="Arial" w:hAnsi="Arial"/>
          <w:b w:val="false"/>
          <w:bCs w:val="false"/>
          <w:i/>
          <w:iCs/>
          <w:color w:val="1E7145"/>
          <w:sz w:val="19"/>
          <w:szCs w:val="19"/>
        </w:rPr>
        <w:t xml:space="preserve">Il sistema ha recuperato 10 sentenze dalla knowledge base giurisprudenziale.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700"/>
        <w:gridCol w:w="36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ID / Organo</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Estratto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n.15383/2025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-2.743</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 quanto la C.t.r., dopo aver affermato il diritto ad avvalersi della sospensione dei tributi ed aver negato il diritto di avvalersi della riduzione del 50% dei versamenti prevista con il comma 1011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n.5436/2025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-3.174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in relazione al reato di cui all'art. 5 D.Lgs. n. 74/2000, per non aver presentato, essendovi l'obbligo, la dichiarazione relativa alla imposta sui redditi, con conseguente evasione del pagamento de</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n.6133/2026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-3.622</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seguente SENTENZA sul ricorso proposto da Procuratore Generale presso la Corte d'appello di Brescia nel procedimento nei confronti di Orsiní Marco, nato a Santa Maria Capua Vetere il 10/1/1994 avverso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n.15460/2026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-3.662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della sentenza, preclude il riesame dello stesso punto didiritto accertato e risolto, anche se il successivo giudizio abbiafinalità diverse da quelle che hanno costituito lo scopo ed il “petitum”del p</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n.13583/2026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-4.141</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.Rilevato che risulta soccombente l’Agenzia delle Entrate, ammessa allaprenotazione a debito del contributo unificato per essere amministrazionepubblica difesa dall'Avvocatura Generale dello Stato, no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n.40529/2025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-4.904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 seguente SENTENZA sul ricorso proposto da D'Alterio Pasquale, nato a Giugliano in Campania il 10-07-1972, avverso la sentenza del 23-02-2024 della Corte di appello di Firenze; visti gli atti, il pr</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n.39557/2025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-4.91</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 seguente SENTENZA sui ricorsi proposti da: Guerra Raffaele nato a TRIGGIANO il 25/06/1964 Lizzano Vincenzo nato a CAPURSO il 27/03/1967 avverso la sentenza del 10/09/2024 della Corte d'appello di 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n.115/2025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-5.294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 la seguente SENTENZA sul ricorso diArditi Carla, nataa Lecce il 28/04/1966 , avverso la sentenza in data 21/10/2024 della Corte di appello di Lecce, visti gli atti, il provvedimento impugnato e il </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n.38438/2025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-5.322</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 seguente SENTENZA sul ricorso proposto da: Bianca Antonio nato a SIRACUSA il 02/04/1962 avverso la sentenza del 18/03/2025 della Corte d'appello di Catania Visti gli atti, il provvedimento impugnat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n.39154/2025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-5.408</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 seguente SENTENZA sul ricorso proposto da Aversa De Fazio Antonio, nato a Melissa il 28/2/1962 avverso la sentenza del 8/1/2025 della Corte d'appello di Catanzaro visti gli atti, il provvedimento i</w:t>
            </w:r>
          </w:p>
        </w:tc>
      </w:tr>
    </w:tbl>
    <w:p>
      <w:pPr>
        <w:spacing w:after="0" w:before="80"/>
      </w:pPr>
    </w:p>
    <w:p>
      <w:pPr>
        <w:pBdr>
          <w:bottom w:val="single" w:color="2E75B6" w:sz="8"/>
        </w:pBdr>
        <w:spacing w:after="80" w:before="160"/>
      </w:pPr>
      <w:r>
        <w:rPr>
          <w:rFonts w:ascii="Arial" w:cs="Arial" w:eastAsia="Arial" w:hAnsi="Arial"/>
          <w:b/>
          <w:bCs/>
          <w:color w:val="2E75B6"/>
          <w:sz w:val="26"/>
          <w:szCs w:val="26"/>
        </w:rPr>
        <w:t xml:space="preserve">Rubrica di valutazione — da compilare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0"/>
        <w:gridCol w:w="49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Valutazione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Correttezza giuridica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Pertinenza fonti normative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Qualità giurisprudenza citata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Allucinazioni / errori fattuali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Sì / No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Giurisprudenza mancante rilevante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Note libere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bl>
    <w:p>
      <w:pPr>
        <w:pageBreakBefore/>
        <w:spacing w:after="100" w:before="0"/>
      </w:pPr>
      <w:r>
        <w:rPr>
          <w:rFonts w:ascii="Arial" w:cs="Arial" w:eastAsia="Arial" w:hAnsi="Arial"/>
          <w:b/>
          <w:bCs/>
          <w:color w:val="1F4E79"/>
          <w:sz w:val="26"/>
          <w:szCs w:val="26"/>
        </w:rPr>
        <w:t xml:space="preserve">Scheda 6 di 10 — </w:t>
      </w:r>
      <w:r>
        <w:rPr>
          <w:rFonts w:ascii="Arial" w:cs="Arial" w:eastAsia="Arial" w:hAnsi="Arial"/>
          <w:b/>
          <w:bCs/>
          <w:color w:val="2E75B6"/>
          <w:sz w:val="26"/>
          <w:szCs w:val="26"/>
        </w:rPr>
        <w:t xml:space="preserve">Penale Tributario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Difficoltà: Difficile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Norma: D.Lgs. 74/2000 art. 12-bis</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8"/>
                <w:szCs w:val="18"/>
              </w:rPr>
              <w:t xml:space="preserve">Giurisprudenza: 10/10 fonti</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Tempo: 15002 ms</w:t>
            </w:r>
          </w:p>
        </w:tc>
      </w:tr>
    </w:tbl>
    <w:p>
      <w:pPr>
        <w:spacing w:after="0" w:before="120"/>
      </w:pPr>
    </w:p>
    <w:p>
      <w:pPr>
        <w:pBdr>
          <w:bottom w:val="single" w:color="2E75B6" w:sz="8"/>
        </w:pBdr>
        <w:spacing w:after="80" w:before="160"/>
      </w:pPr>
      <w:r>
        <w:rPr>
          <w:rFonts w:ascii="Arial" w:cs="Arial" w:eastAsia="Arial" w:hAnsi="Arial"/>
          <w:b/>
          <w:bCs/>
          <w:color w:val="2E75B6"/>
          <w:sz w:val="26"/>
          <w:szCs w:val="26"/>
        </w:rPr>
        <w:t xml:space="preserve">Scenario (query sottoposta al sistema)</w:t>
      </w:r>
    </w:p>
    <w:p>
      <w:pPr>
        <w:spacing w:after="80" w:before="80"/>
        <w:jc w:val="left"/>
      </w:pPr>
      <w:r>
        <w:rPr>
          <w:rFonts w:ascii="Arial" w:cs="Arial" w:eastAsia="Arial" w:hAnsi="Arial"/>
          <w:b w:val="false"/>
          <w:bCs w:val="false"/>
          <w:i/>
          <w:iCs/>
          <w:color w:val="333333"/>
          <w:sz w:val="21"/>
          <w:szCs w:val="21"/>
        </w:rPr>
        <w:t xml:space="preserve">Quali sono i presupposti e il regime della confisca obbligatoria per equivalente nei reati tributari ai sensi dell'art. 12-bis D.Lgs. 74/2000 e quali beni possono essere aggrediti?</w:t>
      </w:r>
    </w:p>
    <w:p>
      <w:pPr>
        <w:spacing w:after="0" w:before="80"/>
      </w:pPr>
    </w:p>
    <w:p>
      <w:pPr>
        <w:pBdr>
          <w:bottom w:val="single" w:color="2E75B6" w:sz="8"/>
        </w:pBdr>
        <w:spacing w:after="80" w:before="160"/>
      </w:pPr>
      <w:r>
        <w:rPr>
          <w:rFonts w:ascii="Arial" w:cs="Arial" w:eastAsia="Arial" w:hAnsi="Arial"/>
          <w:b/>
          <w:bCs/>
          <w:color w:val="2E75B6"/>
          <w:sz w:val="26"/>
          <w:szCs w:val="26"/>
        </w:rPr>
        <w:t xml:space="preserve">Risposta del sistema</w:t>
      </w:r>
    </w:p>
    <w:p>
      <w:pPr>
        <w:spacing w:after="40" w:before="120"/>
        <w:jc w:val="left"/>
      </w:pPr>
      <w:r>
        <w:rPr>
          <w:rFonts w:ascii="Arial" w:cs="Arial" w:eastAsia="Arial" w:hAnsi="Arial"/>
          <w:b/>
          <w:bCs/>
          <w:i w:val="false"/>
          <w:iCs w:val="false"/>
          <w:color w:val="1F4E79"/>
          <w:sz w:val="21"/>
          <w:szCs w:val="21"/>
        </w:rPr>
        <w:t xml:space="preserve">QUALIFICAZIONE</w:t>
      </w:r>
    </w:p>
    <w:p>
      <w:pPr>
        <w:spacing w:after="30" w:before="40"/>
        <w:ind w:left="360"/>
        <w:jc w:val="left"/>
      </w:pPr>
      <w:r>
        <w:rPr>
          <w:rFonts w:ascii="Arial" w:cs="Arial" w:eastAsia="Arial" w:hAnsi="Arial"/>
          <w:b w:val="false"/>
          <w:bCs w:val="false"/>
          <w:i w:val="false"/>
          <w:iCs w:val="false"/>
          <w:color w:val="222222"/>
          <w:sz w:val="20"/>
          <w:szCs w:val="20"/>
        </w:rPr>
        <w:t xml:space="preserve">Il regime della confisca obbligatoria per equivalente nei reati tributari è regolato dall'articolo 12-bis del D.Lgs. 74/2000.</w:t>
      </w:r>
    </w:p>
    <w:p>
      <w:pPr>
        <w:spacing w:after="40" w:before="120"/>
        <w:jc w:val="left"/>
      </w:pPr>
      <w:r>
        <w:rPr>
          <w:rFonts w:ascii="Arial" w:cs="Arial" w:eastAsia="Arial" w:hAnsi="Arial"/>
          <w:b/>
          <w:bCs/>
          <w:i w:val="false"/>
          <w:iCs w:val="false"/>
          <w:color w:val="1F4E79"/>
          <w:sz w:val="21"/>
          <w:szCs w:val="21"/>
        </w:rPr>
        <w:t xml:space="preserve">VALUTAZIONE</w:t>
      </w:r>
    </w:p>
    <w:p>
      <w:pPr>
        <w:spacing w:after="30" w:before="40"/>
        <w:ind w:left="360"/>
        <w:jc w:val="left"/>
      </w:pPr>
      <w:r>
        <w:rPr>
          <w:rFonts w:ascii="Arial" w:cs="Arial" w:eastAsia="Arial" w:hAnsi="Arial"/>
          <w:b w:val="false"/>
          <w:bCs w:val="false"/>
          <w:i w:val="false"/>
          <w:iCs w:val="false"/>
          <w:color w:val="222222"/>
          <w:sz w:val="20"/>
          <w:szCs w:val="20"/>
        </w:rPr>
        <w:t xml:space="preserve">VALUTAZIONE PERSONALE: La valutazione del regime della confisca obbligatoria per equivalente nei reati tributari è alta in quanto la norma è chiara e specifica.</w:t>
      </w:r>
    </w:p>
    <w:p>
      <w:pPr>
        <w:spacing w:after="0" w:before="100"/>
      </w:pPr>
    </w:p>
    <w:p>
      <w:pPr>
        <w:pBdr>
          <w:bottom w:val="single" w:color="2E75B6" w:sz="8"/>
        </w:pBdr>
        <w:spacing w:after="80" w:before="160"/>
      </w:pPr>
      <w:r>
        <w:rPr>
          <w:rFonts w:ascii="Arial" w:cs="Arial" w:eastAsia="Arial" w:hAnsi="Arial"/>
          <w:b/>
          <w:bCs/>
          <w:color w:val="2E75B6"/>
          <w:sz w:val="26"/>
          <w:szCs w:val="26"/>
        </w:rPr>
        <w:t xml:space="preserve">Valutazione automatica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Reviewer</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9"/>
                <w:szCs w:val="19"/>
              </w:rPr>
              <w:t xml:space="preserve">PASS → DELIVER</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Confidenza</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E7145"/>
                <w:sz w:val="19"/>
                <w:szCs w:val="19"/>
              </w:rPr>
              <w:t xml:space="preserve">HIGH</w:t>
            </w:r>
          </w:p>
        </w:tc>
      </w:tr>
    </w:tbl>
    <w:p>
      <w:pPr>
        <w:spacing w:after="0" w:before="80"/>
      </w:pPr>
    </w:p>
    <w:p>
      <w:pPr>
        <w:pBdr>
          <w:bottom w:val="single" w:color="1E7145" w:sz="8"/>
        </w:pBdr>
        <w:spacing w:after="80" w:before="160"/>
      </w:pPr>
      <w:r>
        <w:rPr>
          <w:rFonts w:ascii="Arial" w:cs="Arial" w:eastAsia="Arial" w:hAnsi="Arial"/>
          <w:b/>
          <w:bCs/>
          <w:color w:val="1E7145"/>
          <w:sz w:val="26"/>
          <w:szCs w:val="26"/>
        </w:rPr>
        <w:t xml:space="preserve">Fonti giurisprudenziali citate</w:t>
      </w:r>
    </w:p>
    <w:p>
      <w:pPr>
        <w:spacing w:after="80" w:before="60"/>
        <w:jc w:val="left"/>
      </w:pPr>
      <w:r>
        <w:rPr>
          <w:rFonts w:ascii="Arial" w:cs="Arial" w:eastAsia="Arial" w:hAnsi="Arial"/>
          <w:b w:val="false"/>
          <w:bCs w:val="false"/>
          <w:i/>
          <w:iCs/>
          <w:color w:val="1E7145"/>
          <w:sz w:val="19"/>
          <w:szCs w:val="19"/>
        </w:rPr>
        <w:t xml:space="preserve">Il sistema ha recuperato 10 sentenze dalla knowledge base giurisprudenziale.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700"/>
        <w:gridCol w:w="36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ID / Organo</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Estratto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n.31338/2025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3.738</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6. Sussistono i presuppostiprocessuali, ai sensi dell’art. 13, comma 1 quater, del D.P.R. 115/2002, per il versamento, da parte della ricorrente, dell’ulteriore importo a titolo di contributo unific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n.15890/2026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1.275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conla distrazione richiesta.Non si ravvisano però i presupposti per la condanna dellaricorrente ex art. 96 cod. proc. civ. chiesta dalla controricorrente.In considerazione dell’esito del ricorso, ai</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n.28968/2025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-0.187</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quanto alla confisca del prezzo o del profitto del reato. 5. Tanto premesso, l'art. 12 -bis, stesso decreto, stabilisce che nel caso di condanna o di applicazione della pena su richiesta delle parti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n.12988/2026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-0.247</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.11. Ai sensi dell’art. 13, comma 1-quater, del d.P.R. n. 115 del2002, dà atto della sussistenza dei presupposti processuali per ilversamento, da parte del ricorrente, dell’ulteriore importo a titolo </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n.28834/2025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-0.974</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21. Ai sensi dell'art. 13, comma 1 quater, del DPR n. 115/02, nel testo risultante dalla legge 24.12.2012 n. 228, deve provvedersi, ricorrendone i presupposti processuali, sempre come da dispositivo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n.11361/2026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-2.663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.10. Sussistono le condizioni per dare atto, ai sensi dell’art.13, comma 1quater, del d.P.R. n.115 del 2002, dell’obbligo, per parte ricorrente, di versarel’ulteriore importo a titolo di contributo un</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n.11387/2026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-2.842</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.13. Sussistono le condizioni per dare atto, ai sensi dell’art.13, comma 1quater, del d.P.R. n.115 del 2002, dell’obbligo, per parte ricorrente, di versarel’ulteriore importo a titolo di contributo un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n.5436/2025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-3.196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in relazione al reato di cui all'art. 5 D.Lgs. n. 74/2000, per non aver presentato, essendovi l'obbligo, la dichiarazione relativa alla imposta sui redditi, con conseguente evasione del pagamento de</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n.31707/2025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-4.291</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li stabiliti dal comma 5-bis del medesimo articolo, che impone soltanto che, a pena di nullità, la motivazione dell’atto debba indicare i presupposti di fatto e le ragioni giuridiche che lo hanno dete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n.17096/2026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-4.322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a confermare la sentenza “nel resto”.Ciò integrerebbe, secondo il ricorrente, il vizio di omessa pronuncia sui motividi gravame, nonché violazione di legge sostanziale, atteso che la confiscafacolta</w:t>
            </w:r>
          </w:p>
        </w:tc>
      </w:tr>
    </w:tbl>
    <w:p>
      <w:pPr>
        <w:spacing w:after="0" w:before="80"/>
      </w:pPr>
    </w:p>
    <w:p>
      <w:pPr>
        <w:pBdr>
          <w:bottom w:val="single" w:color="2E75B6" w:sz="8"/>
        </w:pBdr>
        <w:spacing w:after="80" w:before="160"/>
      </w:pPr>
      <w:r>
        <w:rPr>
          <w:rFonts w:ascii="Arial" w:cs="Arial" w:eastAsia="Arial" w:hAnsi="Arial"/>
          <w:b/>
          <w:bCs/>
          <w:color w:val="2E75B6"/>
          <w:sz w:val="26"/>
          <w:szCs w:val="26"/>
        </w:rPr>
        <w:t xml:space="preserve">Rubrica di valutazione — da compilare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0"/>
        <w:gridCol w:w="49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Valutazione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Correttezza giuridica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Pertinenza fonti normative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Qualità giurisprudenza citata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Allucinazioni / errori fattuali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Sì / No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Giurisprudenza mancante rilevante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Note libere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bl>
    <w:p>
      <w:pPr>
        <w:pageBreakBefore/>
        <w:spacing w:after="100" w:before="0"/>
      </w:pPr>
      <w:r>
        <w:rPr>
          <w:rFonts w:ascii="Arial" w:cs="Arial" w:eastAsia="Arial" w:hAnsi="Arial"/>
          <w:b/>
          <w:bCs/>
          <w:color w:val="1F4E79"/>
          <w:sz w:val="26"/>
          <w:szCs w:val="26"/>
        </w:rPr>
        <w:t xml:space="preserve">Scheda 7 di 10 — </w:t>
      </w:r>
      <w:r>
        <w:rPr>
          <w:rFonts w:ascii="Arial" w:cs="Arial" w:eastAsia="Arial" w:hAnsi="Arial"/>
          <w:b/>
          <w:bCs/>
          <w:color w:val="2E75B6"/>
          <w:sz w:val="26"/>
          <w:szCs w:val="26"/>
        </w:rPr>
        <w:t xml:space="preserve">Penale Tributario / 231</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Difficoltà: Difficile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Norma: D.Lgs. 231/2001 art. 25-quinquiesdecies</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8"/>
                <w:szCs w:val="18"/>
              </w:rPr>
              <w:t xml:space="preserve">Giurisprudenza: 10/10 fonti</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Tempo: 40181 ms</w:t>
            </w:r>
          </w:p>
        </w:tc>
      </w:tr>
    </w:tbl>
    <w:p>
      <w:pPr>
        <w:spacing w:after="0" w:before="120"/>
      </w:pPr>
    </w:p>
    <w:p>
      <w:pPr>
        <w:pBdr>
          <w:bottom w:val="single" w:color="2E75B6" w:sz="8"/>
        </w:pBdr>
        <w:spacing w:after="80" w:before="160"/>
      </w:pPr>
      <w:r>
        <w:rPr>
          <w:rFonts w:ascii="Arial" w:cs="Arial" w:eastAsia="Arial" w:hAnsi="Arial"/>
          <w:b/>
          <w:bCs/>
          <w:color w:val="2E75B6"/>
          <w:sz w:val="26"/>
          <w:szCs w:val="26"/>
        </w:rPr>
        <w:t xml:space="preserve">Scenario (query sottoposta al sistema)</w:t>
      </w:r>
    </w:p>
    <w:p>
      <w:pPr>
        <w:spacing w:after="80" w:before="80"/>
        <w:jc w:val="left"/>
      </w:pPr>
      <w:r>
        <w:rPr>
          <w:rFonts w:ascii="Arial" w:cs="Arial" w:eastAsia="Arial" w:hAnsi="Arial"/>
          <w:b w:val="false"/>
          <w:bCs w:val="false"/>
          <w:i/>
          <w:iCs/>
          <w:color w:val="333333"/>
          <w:sz w:val="21"/>
          <w:szCs w:val="21"/>
        </w:rPr>
        <w:t xml:space="preserve">Quando una società risponde ai sensi del D.Lgs. 231/2001 per i reati tributari commessi nel suo interesse o vantaggio da soggetti apicali o sottoposti? Quali reati sono presupposto e quali sanzioni si applicano ex art. 25-quinquiesdecies?</w:t>
      </w:r>
    </w:p>
    <w:p>
      <w:pPr>
        <w:spacing w:after="0" w:before="80"/>
      </w:pPr>
    </w:p>
    <w:p>
      <w:pPr>
        <w:pBdr>
          <w:bottom w:val="single" w:color="2E75B6" w:sz="8"/>
        </w:pBdr>
        <w:spacing w:after="80" w:before="160"/>
      </w:pPr>
      <w:r>
        <w:rPr>
          <w:rFonts w:ascii="Arial" w:cs="Arial" w:eastAsia="Arial" w:hAnsi="Arial"/>
          <w:b/>
          <w:bCs/>
          <w:color w:val="2E75B6"/>
          <w:sz w:val="26"/>
          <w:szCs w:val="26"/>
        </w:rPr>
        <w:t xml:space="preserve">Risposta del sistema</w:t>
      </w:r>
    </w:p>
    <w:p>
      <w:pPr>
        <w:spacing w:after="40" w:before="120"/>
        <w:jc w:val="left"/>
      </w:pPr>
      <w:r>
        <w:rPr>
          <w:rFonts w:ascii="Arial" w:cs="Arial" w:eastAsia="Arial" w:hAnsi="Arial"/>
          <w:b/>
          <w:bCs/>
          <w:i w:val="false"/>
          <w:iCs w:val="false"/>
          <w:color w:val="1F4E79"/>
          <w:sz w:val="21"/>
          <w:szCs w:val="21"/>
        </w:rPr>
        <w:t xml:space="preserve">QUALIFICAZIONE</w:t>
      </w:r>
    </w:p>
    <w:p>
      <w:pPr>
        <w:spacing w:after="30" w:before="40"/>
        <w:ind w:left="360"/>
        <w:jc w:val="left"/>
      </w:pPr>
      <w:r>
        <w:rPr>
          <w:rFonts w:ascii="Arial" w:cs="Arial" w:eastAsia="Arial" w:hAnsi="Arial"/>
          <w:b w:val="false"/>
          <w:bCs w:val="false"/>
          <w:i w:val="false"/>
          <w:iCs w:val="false"/>
          <w:color w:val="222222"/>
          <w:sz w:val="20"/>
          <w:szCs w:val="20"/>
        </w:rPr>
        <w:t xml:space="preserve">Una società risponde ai sensi del D.Lgs. 231/2001 per i reati tributari commessi nel suo interesse o vantaggio da soggetti apicali o sottoposti.</w:t>
      </w:r>
    </w:p>
    <w:p>
      <w:pPr>
        <w:spacing w:after="40" w:before="120"/>
        <w:jc w:val="left"/>
      </w:pPr>
      <w:r>
        <w:rPr>
          <w:rFonts w:ascii="Arial" w:cs="Arial" w:eastAsia="Arial" w:hAnsi="Arial"/>
          <w:b/>
          <w:bCs/>
          <w:i w:val="false"/>
          <w:iCs w:val="false"/>
          <w:color w:val="1F4E79"/>
          <w:sz w:val="21"/>
          <w:szCs w:val="21"/>
        </w:rPr>
        <w:t xml:space="preserve">NORMA APPLICABILE</w:t>
      </w:r>
    </w:p>
    <w:p>
      <w:pPr>
        <w:spacing w:after="30" w:before="40"/>
        <w:ind w:left="360"/>
        <w:jc w:val="left"/>
      </w:pPr>
      <w:r>
        <w:rPr>
          <w:rFonts w:ascii="Arial" w:cs="Arial" w:eastAsia="Arial" w:hAnsi="Arial"/>
          <w:b w:val="false"/>
          <w:bCs w:val="false"/>
          <w:i w:val="false"/>
          <w:iCs w:val="false"/>
          <w:color w:val="222222"/>
          <w:sz w:val="20"/>
          <w:szCs w:val="20"/>
        </w:rPr>
        <w:t xml:space="preserve">La norma applicabile è l'art. 25-quinquiesdecies D.Lgs. 231/2001.</w:t>
      </w:r>
    </w:p>
    <w:p>
      <w:pPr>
        <w:spacing w:after="40" w:before="120"/>
        <w:jc w:val="left"/>
      </w:pPr>
      <w:r>
        <w:rPr>
          <w:rFonts w:ascii="Arial" w:cs="Arial" w:eastAsia="Arial" w:hAnsi="Arial"/>
          <w:b/>
          <w:bCs/>
          <w:i w:val="false"/>
          <w:iCs w:val="false"/>
          <w:color w:val="1F4E79"/>
          <w:sz w:val="21"/>
          <w:szCs w:val="21"/>
        </w:rPr>
        <w:t xml:space="preserve">GIURISPRUDENZA</w:t>
      </w:r>
    </w:p>
    <w:p>
      <w:pPr>
        <w:spacing w:after="30" w:before="40"/>
        <w:ind w:left="360"/>
        <w:jc w:val="left"/>
      </w:pPr>
      <w:r>
        <w:rPr>
          <w:rFonts w:ascii="Arial" w:cs="Arial" w:eastAsia="Arial" w:hAnsi="Arial"/>
          <w:b w:val="false"/>
          <w:bCs w:val="false"/>
          <w:i w:val="false"/>
          <w:iCs w:val="false"/>
          <w:color w:val="222222"/>
          <w:sz w:val="20"/>
          <w:szCs w:val="20"/>
        </w:rPr>
        <w:t xml:space="preserve">La giurisprudenza della Cassazione conferma l'applicabilità dell'art. 25-quinquiesdecies D.Lgs. 231/2001 per i reati tributari commessi nel interesse o vantaggio di una società.</w:t>
      </w:r>
    </w:p>
    <w:p>
      <w:pPr>
        <w:spacing w:after="40" w:before="120"/>
        <w:jc w:val="left"/>
      </w:pPr>
      <w:r>
        <w:rPr>
          <w:rFonts w:ascii="Arial" w:cs="Arial" w:eastAsia="Arial" w:hAnsi="Arial"/>
          <w:b/>
          <w:bCs/>
          <w:i w:val="false"/>
          <w:iCs w:val="false"/>
          <w:color w:val="1F4E79"/>
          <w:sz w:val="21"/>
          <w:szCs w:val="21"/>
        </w:rPr>
        <w:t xml:space="preserve">VALUTAZIONE</w:t>
      </w:r>
    </w:p>
    <w:p>
      <w:pPr>
        <w:spacing w:after="30" w:before="40"/>
        <w:ind w:left="360"/>
        <w:jc w:val="left"/>
      </w:pPr>
      <w:r>
        <w:rPr>
          <w:rFonts w:ascii="Arial" w:cs="Arial" w:eastAsia="Arial" w:hAnsi="Arial"/>
          <w:b w:val="false"/>
          <w:bCs w:val="false"/>
          <w:i w:val="false"/>
          <w:iCs w:val="false"/>
          <w:color w:val="222222"/>
          <w:sz w:val="20"/>
          <w:szCs w:val="20"/>
        </w:rPr>
        <w:t xml:space="preserve">VALUTAZIONE PERSONALE: La giurisprudenza è coerente e conferma l'applicabilità dell'art. 25-quinquiesdecies D.Lgs. 231/2001 per i reati tributari commessi nel interesse o vantaggio di una società.</w:t>
      </w:r>
    </w:p>
    <w:p>
      <w:pPr>
        <w:spacing w:after="40" w:before="120"/>
        <w:jc w:val="left"/>
      </w:pPr>
      <w:r>
        <w:rPr>
          <w:rFonts w:ascii="Arial" w:cs="Arial" w:eastAsia="Arial" w:hAnsi="Arial"/>
          <w:b/>
          <w:bCs/>
          <w:i w:val="false"/>
          <w:iCs w:val="false"/>
          <w:color w:val="1F4E79"/>
          <w:sz w:val="21"/>
          <w:szCs w:val="21"/>
        </w:rPr>
        <w:t xml:space="preserve">GAP ANALYSIS</w:t>
      </w:r>
    </w:p>
    <w:p>
      <w:pPr>
        <w:spacing w:after="30" w:before="40"/>
        <w:ind w:left="360"/>
        <w:jc w:val="left"/>
      </w:pPr>
      <w:r>
        <w:rPr>
          <w:rFonts w:ascii="Arial" w:cs="Arial" w:eastAsia="Arial" w:hAnsi="Arial"/>
          <w:b w:val="false"/>
          <w:bCs w:val="false"/>
          <w:i w:val="false"/>
          <w:iCs w:val="false"/>
          <w:color w:val="222222"/>
          <w:sz w:val="20"/>
          <w:szCs w:val="20"/>
        </w:rPr>
        <w:t xml:space="preserve">Nel Packet manca la specifica applicazione delle sanzioni previste dall'art. 25-quinquiesdecies D.Lgs. 231/2001.</w:t>
      </w:r>
    </w:p>
    <w:p>
      <w:pPr>
        <w:spacing w:after="0" w:before="100"/>
      </w:pPr>
    </w:p>
    <w:p>
      <w:pPr>
        <w:pBdr>
          <w:bottom w:val="single" w:color="2E75B6" w:sz="8"/>
        </w:pBdr>
        <w:spacing w:after="80" w:before="160"/>
      </w:pPr>
      <w:r>
        <w:rPr>
          <w:rFonts w:ascii="Arial" w:cs="Arial" w:eastAsia="Arial" w:hAnsi="Arial"/>
          <w:b/>
          <w:bCs/>
          <w:color w:val="2E75B6"/>
          <w:sz w:val="26"/>
          <w:szCs w:val="26"/>
        </w:rPr>
        <w:t xml:space="preserve">Valutazione automatica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Reviewer</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9"/>
                <w:szCs w:val="19"/>
              </w:rPr>
              <w:t xml:space="preserve">PASS → DELIVER</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Confidenza</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E7145"/>
                <w:sz w:val="19"/>
                <w:szCs w:val="19"/>
              </w:rPr>
              <w:t xml:space="preserve">HIGH</w:t>
            </w:r>
          </w:p>
        </w:tc>
      </w:tr>
    </w:tbl>
    <w:p>
      <w:pPr>
        <w:spacing w:after="0" w:before="80"/>
      </w:pPr>
    </w:p>
    <w:p>
      <w:pPr>
        <w:pBdr>
          <w:bottom w:val="single" w:color="1E7145" w:sz="8"/>
        </w:pBdr>
        <w:spacing w:after="80" w:before="160"/>
      </w:pPr>
      <w:r>
        <w:rPr>
          <w:rFonts w:ascii="Arial" w:cs="Arial" w:eastAsia="Arial" w:hAnsi="Arial"/>
          <w:b/>
          <w:bCs/>
          <w:color w:val="1E7145"/>
          <w:sz w:val="26"/>
          <w:szCs w:val="26"/>
        </w:rPr>
        <w:t xml:space="preserve">Fonti giurisprudenziali citate</w:t>
      </w:r>
    </w:p>
    <w:p>
      <w:pPr>
        <w:spacing w:after="80" w:before="60"/>
        <w:jc w:val="left"/>
      </w:pPr>
      <w:r>
        <w:rPr>
          <w:rFonts w:ascii="Arial" w:cs="Arial" w:eastAsia="Arial" w:hAnsi="Arial"/>
          <w:b w:val="false"/>
          <w:bCs w:val="false"/>
          <w:i/>
          <w:iCs/>
          <w:color w:val="1E7145"/>
          <w:sz w:val="19"/>
          <w:szCs w:val="19"/>
        </w:rPr>
        <w:t xml:space="preserve">Il sistema ha recuperato 10 sentenze dalla knowledge base giurisprudenziale.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700"/>
        <w:gridCol w:w="36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ID / Organo</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Estratto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n.12714/2025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0.41</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Ricorrono i presupposti per dichiarare la società ricorrente tenuta al pagamento di una somma di importo pari al contributo unificato previsto per la presente impugnazione, se dovuto, ai sensi dell’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n.18947/2025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0.168</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29. Ai sensi dell'art. 13, comma 1 quater, del DPR n. 115/02, nel testo risultante dalla legge 24.12.2012 n. 228, deve provvedersi, ricorrendone i presupposti processuali, sempre come da dispositivo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n.18948/2025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0.113</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26. Ai sensi dell'art. 13, comma 1 quater, del DPR n. 115/02, nel testo risultante dalla legge 24.12.2012 n. 228, deve provvedersi, ricorrendone i presupposti processuali, sempre come da dispositivo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n.18951/2025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0.109</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22. Ai sensi dell'art. 13, comma 1 quater, del DPR n. 115/02, nel testo risultante dalla legge 24.12.2012 n. 228, deve provvedersi, ricorrendone i presupposti processuali, sempre come da dispositivo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n.11581/2025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-0.467</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 favore della controricorrente società, mentre l’INPS non ha svolto attività difensiva;ai sensi dell’art. 13, comma 1-quater, del d.P.R. n. 115 del 2002, nel testo introdotto dall’art. 1, comma 17,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CORTE_CONTI n.3/QM/2026
[massima]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-2.837</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deferita con atto
del 26 marzo 2025, ai sensi dell’art. 114, co. 3, c.g.c. (d.lgs. n. 174/2016
e s.m.i.), dal Procuratore generale rappresentante il Pubblico
ministero presso la Corte dei conti, avent</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n.5436/2025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-3.267</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in relazione al reato di cui all'art. 5 D.Lgs. n. 74/2000, per non aver presentato, essendovi l'obbligo, la dichiarazione relativa alla imposta sui redditi, con conseguente evasione del pagamento de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n.6644/2026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-4.464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Si dà atto della sussistenza dei presupposti processuali dì cui all'art. 13, comma 1 quater, del D.P.R. 30 maggio 2002 n. 115, introdotto dall'art. 1, comma 17, della L. 24 dicembre 2012 n. 228. La </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n.3063/2026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-5.479</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tenendo a mente che, essendo l’Agenzia delle Entrate un’amministrazione pubblica che fruisce di tale beneficio, le spese sono prenotate a debito. 9. In virtù del richiamo fatto dall’articolo 380 - 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n.32272/2025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-5.548</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(cfr. il terzo commadell’articolo), se non fosse al riguardo assorbente il dato dell’inapplicabilità della norma alla fattispecieoggetto di causa, visto che la richiamata disposizione è dettata per le</w:t>
            </w:r>
          </w:p>
        </w:tc>
      </w:tr>
    </w:tbl>
    <w:p>
      <w:pPr>
        <w:spacing w:after="0" w:before="80"/>
      </w:pPr>
    </w:p>
    <w:p>
      <w:pPr>
        <w:pBdr>
          <w:bottom w:val="single" w:color="2E75B6" w:sz="8"/>
        </w:pBdr>
        <w:spacing w:after="80" w:before="160"/>
      </w:pPr>
      <w:r>
        <w:rPr>
          <w:rFonts w:ascii="Arial" w:cs="Arial" w:eastAsia="Arial" w:hAnsi="Arial"/>
          <w:b/>
          <w:bCs/>
          <w:color w:val="2E75B6"/>
          <w:sz w:val="26"/>
          <w:szCs w:val="26"/>
        </w:rPr>
        <w:t xml:space="preserve">Rubrica di valutazione — da compilare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0"/>
        <w:gridCol w:w="49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Valutazione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Correttezza giuridica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Pertinenza fonti normative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Qualità giurisprudenza citata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Allucinazioni / errori fattuali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Sì / No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Giurisprudenza mancante rilevante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Note libere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bl>
    <w:p>
      <w:pPr>
        <w:pageBreakBefore/>
        <w:spacing w:after="100" w:before="0"/>
      </w:pPr>
      <w:r>
        <w:rPr>
          <w:rFonts w:ascii="Arial" w:cs="Arial" w:eastAsia="Arial" w:hAnsi="Arial"/>
          <w:b/>
          <w:bCs/>
          <w:color w:val="1F4E79"/>
          <w:sz w:val="26"/>
          <w:szCs w:val="26"/>
        </w:rPr>
        <w:t xml:space="preserve">Scheda 8 di 10 — </w:t>
      </w:r>
      <w:r>
        <w:rPr>
          <w:rFonts w:ascii="Arial" w:cs="Arial" w:eastAsia="Arial" w:hAnsi="Arial"/>
          <w:b/>
          <w:bCs/>
          <w:color w:val="2E75B6"/>
          <w:sz w:val="26"/>
          <w:szCs w:val="26"/>
        </w:rPr>
        <w:t xml:space="preserve">Penale Tributario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Difficoltà: Difficile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Norma: D.Lgs. 74/2000 art. 19</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8"/>
                <w:szCs w:val="18"/>
              </w:rPr>
              <w:t xml:space="preserve">Giurisprudenza: 10/10 fonti</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Tempo: 38115 ms</w:t>
            </w:r>
          </w:p>
        </w:tc>
      </w:tr>
    </w:tbl>
    <w:p>
      <w:pPr>
        <w:spacing w:after="0" w:before="120"/>
      </w:pPr>
    </w:p>
    <w:p>
      <w:pPr>
        <w:pBdr>
          <w:bottom w:val="single" w:color="2E75B6" w:sz="8"/>
        </w:pBdr>
        <w:spacing w:after="80" w:before="160"/>
      </w:pPr>
      <w:r>
        <w:rPr>
          <w:rFonts w:ascii="Arial" w:cs="Arial" w:eastAsia="Arial" w:hAnsi="Arial"/>
          <w:b/>
          <w:bCs/>
          <w:color w:val="2E75B6"/>
          <w:sz w:val="26"/>
          <w:szCs w:val="26"/>
        </w:rPr>
        <w:t xml:space="preserve">Scenario (query sottoposta al sistema)</w:t>
      </w:r>
    </w:p>
    <w:p>
      <w:pPr>
        <w:spacing w:after="80" w:before="80"/>
        <w:jc w:val="left"/>
      </w:pPr>
      <w:r>
        <w:rPr>
          <w:rFonts w:ascii="Arial" w:cs="Arial" w:eastAsia="Arial" w:hAnsi="Arial"/>
          <w:b w:val="false"/>
          <w:bCs w:val="false"/>
          <w:i/>
          <w:iCs/>
          <w:color w:val="333333"/>
          <w:sz w:val="21"/>
          <w:szCs w:val="21"/>
        </w:rPr>
        <w:t xml:space="preserve">Come si coordinano le sanzioni amministrative tributarie e le sanzioni penali per i reati tributari? Quando opera il principio di specialità ex art. 19 D.Lgs. 74/2000 e quando invece si applica il cumulo con le sanzioni del D.Lgs. 472/1997?</w:t>
      </w:r>
    </w:p>
    <w:p>
      <w:pPr>
        <w:spacing w:after="0" w:before="80"/>
      </w:pPr>
    </w:p>
    <w:p>
      <w:pPr>
        <w:pBdr>
          <w:bottom w:val="single" w:color="2E75B6" w:sz="8"/>
        </w:pBdr>
        <w:spacing w:after="80" w:before="160"/>
      </w:pPr>
      <w:r>
        <w:rPr>
          <w:rFonts w:ascii="Arial" w:cs="Arial" w:eastAsia="Arial" w:hAnsi="Arial"/>
          <w:b/>
          <w:bCs/>
          <w:color w:val="2E75B6"/>
          <w:sz w:val="26"/>
          <w:szCs w:val="26"/>
        </w:rPr>
        <w:t xml:space="preserve">Risposta del sistema</w:t>
      </w:r>
    </w:p>
    <w:p>
      <w:pPr>
        <w:spacing w:after="40" w:before="120"/>
        <w:jc w:val="left"/>
      </w:pPr>
      <w:r>
        <w:rPr>
          <w:rFonts w:ascii="Arial" w:cs="Arial" w:eastAsia="Arial" w:hAnsi="Arial"/>
          <w:b/>
          <w:bCs/>
          <w:i w:val="false"/>
          <w:iCs w:val="false"/>
          <w:color w:val="1F4E79"/>
          <w:sz w:val="21"/>
          <w:szCs w:val="21"/>
        </w:rPr>
        <w:t xml:space="preserve">QUALIFICAZIONE</w:t>
      </w:r>
    </w:p>
    <w:p>
      <w:pPr>
        <w:spacing w:after="30" w:before="40"/>
        <w:ind w:left="360"/>
        <w:jc w:val="left"/>
      </w:pPr>
      <w:r>
        <w:rPr>
          <w:rFonts w:ascii="Arial" w:cs="Arial" w:eastAsia="Arial" w:hAnsi="Arial"/>
          <w:b w:val="false"/>
          <w:bCs w:val="false"/>
          <w:i w:val="false"/>
          <w:iCs w:val="false"/>
          <w:color w:val="222222"/>
          <w:sz w:val="20"/>
          <w:szCs w:val="20"/>
        </w:rPr>
        <w:t xml:space="preserve">La domanda riguarda la coordinazione tra le sanzioni amministrative tributarie e le sanzioni penali per i reati tributari, specificando quando si applica il principio di specialità ex art. 19 D.Lgs. 74/2000 e quando invece si applica il cumulo con le sanzioni del D.Lgs. 472/1997.</w:t>
      </w:r>
    </w:p>
    <w:p>
      <w:pPr>
        <w:spacing w:after="40" w:before="120"/>
        <w:jc w:val="left"/>
      </w:pPr>
      <w:r>
        <w:rPr>
          <w:rFonts w:ascii="Arial" w:cs="Arial" w:eastAsia="Arial" w:hAnsi="Arial"/>
          <w:b/>
          <w:bCs/>
          <w:i w:val="false"/>
          <w:iCs w:val="false"/>
          <w:color w:val="1F4E79"/>
          <w:sz w:val="21"/>
          <w:szCs w:val="21"/>
        </w:rPr>
        <w:t xml:space="preserve">NORMA APPLICABILE</w:t>
      </w:r>
    </w:p>
    <w:p>
      <w:pPr>
        <w:spacing w:after="30" w:before="40"/>
        <w:ind w:left="360"/>
        <w:jc w:val="left"/>
      </w:pPr>
      <w:r>
        <w:rPr>
          <w:rFonts w:ascii="Arial" w:cs="Arial" w:eastAsia="Arial" w:hAnsi="Arial"/>
          <w:b w:val="false"/>
          <w:bCs w:val="false"/>
          <w:i w:val="false"/>
          <w:iCs w:val="false"/>
          <w:color w:val="222222"/>
          <w:sz w:val="20"/>
          <w:szCs w:val="20"/>
        </w:rPr>
        <w:t xml:space="preserve">Il principio di specialità ex art. 19 D.Lgs. 74/2000 prevede che le sanzioni amministrative non devono essere applicate quando la legge penale stabilisce una pena.</w:t>
      </w:r>
    </w:p>
    <w:p>
      <w:pPr>
        <w:spacing w:after="40" w:before="120"/>
        <w:jc w:val="left"/>
      </w:pPr>
      <w:r>
        <w:rPr>
          <w:rFonts w:ascii="Arial" w:cs="Arial" w:eastAsia="Arial" w:hAnsi="Arial"/>
          <w:b/>
          <w:bCs/>
          <w:i w:val="false"/>
          <w:iCs w:val="false"/>
          <w:color w:val="1F4E79"/>
          <w:sz w:val="21"/>
          <w:szCs w:val="21"/>
        </w:rPr>
        <w:t xml:space="preserve">GIURISPRUDENZA</w:t>
      </w:r>
    </w:p>
    <w:p>
      <w:pPr>
        <w:spacing w:after="30" w:before="40"/>
        <w:ind w:left="360"/>
        <w:jc w:val="left"/>
      </w:pPr>
      <w:r>
        <w:rPr>
          <w:rFonts w:ascii="Arial" w:cs="Arial" w:eastAsia="Arial" w:hAnsi="Arial"/>
          <w:b w:val="false"/>
          <w:bCs w:val="false"/>
          <w:i w:val="false"/>
          <w:iCs w:val="false"/>
          <w:color w:val="222222"/>
          <w:sz w:val="20"/>
          <w:szCs w:val="20"/>
        </w:rPr>
        <w:t xml:space="preserve">La Corte di Cassazione ha ritenuto che la disciplina che interessa il criterio di ripartizione dell’onere probatorio tra Amministrazione Finanziaria e contribuente sia stata riordina nel neo-introdotto comma 5-bis all’interno dell’art. 1218 del Codice delle amministrazioni pubbliche.</w:t>
      </w:r>
    </w:p>
    <w:p>
      <w:pPr>
        <w:spacing w:after="40" w:before="120"/>
        <w:jc w:val="left"/>
      </w:pPr>
      <w:r>
        <w:rPr>
          <w:rFonts w:ascii="Arial" w:cs="Arial" w:eastAsia="Arial" w:hAnsi="Arial"/>
          <w:b/>
          <w:bCs/>
          <w:i w:val="false"/>
          <w:iCs w:val="false"/>
          <w:color w:val="1F4E79"/>
          <w:sz w:val="21"/>
          <w:szCs w:val="21"/>
        </w:rPr>
        <w:t xml:space="preserve">VALUTAZIONE</w:t>
      </w:r>
    </w:p>
    <w:p>
      <w:pPr>
        <w:spacing w:after="30" w:before="40"/>
        <w:ind w:left="360"/>
        <w:jc w:val="left"/>
      </w:pPr>
      <w:r>
        <w:rPr>
          <w:rFonts w:ascii="Arial" w:cs="Arial" w:eastAsia="Arial" w:hAnsi="Arial"/>
          <w:b w:val="false"/>
          <w:bCs w:val="false"/>
          <w:i w:val="false"/>
          <w:iCs w:val="false"/>
          <w:color w:val="222222"/>
          <w:sz w:val="20"/>
          <w:szCs w:val="20"/>
        </w:rPr>
        <w:t xml:space="preserve">VALUTAZIONE PERSONALE: La giurisprudenza conferma l'applicazione del principio di specialità ex art. 19 D.Lgs. 74/2000 quando la legge penale stabilisce una pena, ma non fornisce dettagli sulle condizioni in cui si applica il cumulo con le sanzioni del D.Lgs. 472/1997.</w:t>
      </w:r>
    </w:p>
    <w:p>
      <w:pPr>
        <w:spacing w:after="40" w:before="120"/>
        <w:jc w:val="left"/>
      </w:pPr>
      <w:r>
        <w:rPr>
          <w:rFonts w:ascii="Arial" w:cs="Arial" w:eastAsia="Arial" w:hAnsi="Arial"/>
          <w:b/>
          <w:bCs/>
          <w:i w:val="false"/>
          <w:iCs w:val="false"/>
          <w:color w:val="1F4E79"/>
          <w:sz w:val="21"/>
          <w:szCs w:val="21"/>
        </w:rPr>
        <w:t xml:space="preserve">GAP ANALYSIS</w:t>
      </w:r>
    </w:p>
    <w:p>
      <w:pPr>
        <w:spacing w:after="30" w:before="40"/>
        <w:ind w:left="360"/>
        <w:jc w:val="left"/>
      </w:pPr>
      <w:r>
        <w:rPr>
          <w:rFonts w:ascii="Arial" w:cs="Arial" w:eastAsia="Arial" w:hAnsi="Arial"/>
          <w:b w:val="false"/>
          <w:bCs w:val="false"/>
          <w:i w:val="false"/>
          <w:iCs w:val="false"/>
          <w:color w:val="222222"/>
          <w:sz w:val="20"/>
          <w:szCs w:val="20"/>
        </w:rPr>
        <w:t xml:space="preserve">Il Packet manca di una specifica normativa o giurisprudenza che definisca con precisione le condizioni in cui si applica il cumulo delle sanzioni tra la legge 74/2000 e il D.Lgs. 472/1997.</w:t>
      </w:r>
    </w:p>
    <w:p>
      <w:pPr>
        <w:spacing w:after="0" w:before="100"/>
      </w:pPr>
    </w:p>
    <w:p>
      <w:pPr>
        <w:pBdr>
          <w:bottom w:val="single" w:color="2E75B6" w:sz="8"/>
        </w:pBdr>
        <w:spacing w:after="80" w:before="160"/>
      </w:pPr>
      <w:r>
        <w:rPr>
          <w:rFonts w:ascii="Arial" w:cs="Arial" w:eastAsia="Arial" w:hAnsi="Arial"/>
          <w:b/>
          <w:bCs/>
          <w:color w:val="2E75B6"/>
          <w:sz w:val="26"/>
          <w:szCs w:val="26"/>
        </w:rPr>
        <w:t xml:space="preserve">Valutazione automatica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Reviewer</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9"/>
                <w:szCs w:val="19"/>
              </w:rPr>
              <w:t xml:space="preserve">PASS → DELIVER</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Confidenza</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7D5A00"/>
                <w:sz w:val="19"/>
                <w:szCs w:val="19"/>
              </w:rPr>
              <w:t xml:space="preserve">MEDIUM</w:t>
            </w:r>
          </w:p>
        </w:tc>
      </w:tr>
    </w:tbl>
    <w:p>
      <w:pPr>
        <w:spacing w:after="0" w:before="80"/>
      </w:pPr>
    </w:p>
    <w:p>
      <w:pPr>
        <w:pBdr>
          <w:bottom w:val="single" w:color="1E7145" w:sz="8"/>
        </w:pBdr>
        <w:spacing w:after="80" w:before="160"/>
      </w:pPr>
      <w:r>
        <w:rPr>
          <w:rFonts w:ascii="Arial" w:cs="Arial" w:eastAsia="Arial" w:hAnsi="Arial"/>
          <w:b/>
          <w:bCs/>
          <w:color w:val="1E7145"/>
          <w:sz w:val="26"/>
          <w:szCs w:val="26"/>
        </w:rPr>
        <w:t xml:space="preserve">Fonti giurisprudenziali citate</w:t>
      </w:r>
    </w:p>
    <w:p>
      <w:pPr>
        <w:spacing w:after="80" w:before="60"/>
        <w:jc w:val="left"/>
      </w:pPr>
      <w:r>
        <w:rPr>
          <w:rFonts w:ascii="Arial" w:cs="Arial" w:eastAsia="Arial" w:hAnsi="Arial"/>
          <w:b w:val="false"/>
          <w:bCs w:val="false"/>
          <w:i/>
          <w:iCs/>
          <w:color w:val="1E7145"/>
          <w:sz w:val="19"/>
          <w:szCs w:val="19"/>
        </w:rPr>
        <w:t xml:space="preserve">Il sistema ha recuperato 10 sentenze dalla knowledge base giurisprudenziale.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700"/>
        <w:gridCol w:w="36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ID / Organo</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Estratto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n.9238/2026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-3.202</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ovvero anche all’accertamento delpresupposto impositivo.Le Sezioni Unite, a loro volta, con ordinanza interlocutoria n. 31961/2025,hanno ritenuto di differire la decisione in quanto nelle more la ques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n.14596/2026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-3.392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della decisione (Cass. n.7995/2022). La Corte di giustizia tributaria ha soltanto richiamato ilfatto che «la disciplina che interessa il criterio di ripartizionedell’onere probatorio tra Amministrazio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n.22498/2025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-3.708</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l’Avvocatura Generale dello Stato, con sede in Roma, ove per legge domiciliato (indirizzo pec per notifiche e comunicazioni: ags.rm@mailcert.avvocaturastato.it); RICORRENTE CONTRO Corsani M anuela, 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n.8443/2025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-3.936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di acquisizionecoattiva delle aree in funzione sanante.Per il Tar, dunque, «in definitiva l’attività di esecuzione posta inessere dal commissario ad acta interferisce prevalendo sulprocedimento ammini</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n.30280/2025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-4.317</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ese legali per procedimenti penali riguardanti fatti correlati all’incarico, può essere riconosciuto solo se eventualmente previsto nelcontratto stipulato tra le parti e nello specifico, non risulta 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CORTE_CONTI n.151/2025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-4.49</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 CORTEDEICONTI
Decreto n. 151/2025
SEZIONEGIURISDIZIONALE
PERLAREGIONESICILIANA
***
ILPRESIDENTE
VISTE le leggi 14 gennaio 1994, n. 19 e n. 20, recanti disposizioni in
materia di giurisdizione e con</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n.7471/2025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-4.851</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OGGETTO: Tributi -ORDINANZA Definizione agevolataex art. 5 l. n. 130 del2022 - Estinzione.sul ricorso (iscritto al n. 22025/2022 R.G.) proposto da:SANTANIELLO GIOVANNI, rappresentato e difeso dagli av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n.28116/2025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-5.679</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seguente ORDINANZA sul ricorso proposto da: CASA OLEARIA ITALIANA S.P.A., in persona del legale rappresentante pro tempore, sedente in San Pietro Morubio, rappresenta e difesa dall’avv. Giuseppe Maria</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n.9803/2026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-5.83</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statuisce che «L'art.21, n. 3, della sesta direttiva del Consiglio 17 maggio 1977, 77/388/CEE,in materia di armonizzazione delle legislazioni degli Stati membri relativealle imposte sulla cifra di aff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n.7160/2025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-6.306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accolto l’appello [ dell’Ufficio] limitatamente al recupero dell’imposta” effettuato in relazione alle contestate violazionidell’art. 17 del d.lgs. n. 241/97 (per utilizzo di credito Iva - di import</w:t>
            </w:r>
          </w:p>
        </w:tc>
      </w:tr>
    </w:tbl>
    <w:p>
      <w:pPr>
        <w:spacing w:after="0" w:before="80"/>
      </w:pPr>
    </w:p>
    <w:p>
      <w:pPr>
        <w:pBdr>
          <w:bottom w:val="single" w:color="2E75B6" w:sz="8"/>
        </w:pBdr>
        <w:spacing w:after="80" w:before="160"/>
      </w:pPr>
      <w:r>
        <w:rPr>
          <w:rFonts w:ascii="Arial" w:cs="Arial" w:eastAsia="Arial" w:hAnsi="Arial"/>
          <w:b/>
          <w:bCs/>
          <w:color w:val="2E75B6"/>
          <w:sz w:val="26"/>
          <w:szCs w:val="26"/>
        </w:rPr>
        <w:t xml:space="preserve">Rubrica di valutazione — da compilare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0"/>
        <w:gridCol w:w="49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Valutazione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Correttezza giuridica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Pertinenza fonti normative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Qualità giurisprudenza citata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Allucinazioni / errori fattuali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Sì / No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Giurisprudenza mancante rilevante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Note libere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bl>
    <w:p>
      <w:pPr>
        <w:pageBreakBefore/>
        <w:spacing w:after="100" w:before="0"/>
      </w:pPr>
      <w:r>
        <w:rPr>
          <w:rFonts w:ascii="Arial" w:cs="Arial" w:eastAsia="Arial" w:hAnsi="Arial"/>
          <w:b/>
          <w:bCs/>
          <w:color w:val="1F4E79"/>
          <w:sz w:val="26"/>
          <w:szCs w:val="26"/>
        </w:rPr>
        <w:t xml:space="preserve">Scheda 9 di 10 — </w:t>
      </w:r>
      <w:r>
        <w:rPr>
          <w:rFonts w:ascii="Arial" w:cs="Arial" w:eastAsia="Arial" w:hAnsi="Arial"/>
          <w:b/>
          <w:bCs/>
          <w:color w:val="2E75B6"/>
          <w:sz w:val="26"/>
          <w:szCs w:val="26"/>
        </w:rPr>
        <w:t xml:space="preserve">Penale Tributario / Processuale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Difficoltà: Difficile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Norma: c.p.p. / D.Lgs. 74/2000</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8"/>
                <w:szCs w:val="18"/>
              </w:rPr>
              <w:t xml:space="preserve">Giurisprudenza: 10/10 fonti</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Tempo: 37706 ms</w:t>
            </w:r>
          </w:p>
        </w:tc>
      </w:tr>
    </w:tbl>
    <w:p>
      <w:pPr>
        <w:spacing w:after="0" w:before="120"/>
      </w:pPr>
    </w:p>
    <w:p>
      <w:pPr>
        <w:pBdr>
          <w:bottom w:val="single" w:color="2E75B6" w:sz="8"/>
        </w:pBdr>
        <w:spacing w:after="80" w:before="160"/>
      </w:pPr>
      <w:r>
        <w:rPr>
          <w:rFonts w:ascii="Arial" w:cs="Arial" w:eastAsia="Arial" w:hAnsi="Arial"/>
          <w:b/>
          <w:bCs/>
          <w:color w:val="2E75B6"/>
          <w:sz w:val="26"/>
          <w:szCs w:val="26"/>
        </w:rPr>
        <w:t xml:space="preserve">Scenario (query sottoposta al sistema)</w:t>
      </w:r>
    </w:p>
    <w:p>
      <w:pPr>
        <w:spacing w:after="80" w:before="80"/>
        <w:jc w:val="left"/>
      </w:pPr>
      <w:r>
        <w:rPr>
          <w:rFonts w:ascii="Arial" w:cs="Arial" w:eastAsia="Arial" w:hAnsi="Arial"/>
          <w:b w:val="false"/>
          <w:bCs w:val="false"/>
          <w:i/>
          <w:iCs/>
          <w:color w:val="333333"/>
          <w:sz w:val="21"/>
          <w:szCs w:val="21"/>
        </w:rPr>
        <w:t xml:space="preserve">Quali sono i presupposti per disporre il sequestro preventivo finalizzato alla confisca in un procedimento per reato tributario? Quale è il rapporto tra sequestro penale e misure cautelari fiscali?</w:t>
      </w:r>
    </w:p>
    <w:p>
      <w:pPr>
        <w:spacing w:after="0" w:before="80"/>
      </w:pPr>
    </w:p>
    <w:p>
      <w:pPr>
        <w:pBdr>
          <w:bottom w:val="single" w:color="2E75B6" w:sz="8"/>
        </w:pBdr>
        <w:spacing w:after="80" w:before="160"/>
      </w:pPr>
      <w:r>
        <w:rPr>
          <w:rFonts w:ascii="Arial" w:cs="Arial" w:eastAsia="Arial" w:hAnsi="Arial"/>
          <w:b/>
          <w:bCs/>
          <w:color w:val="2E75B6"/>
          <w:sz w:val="26"/>
          <w:szCs w:val="26"/>
        </w:rPr>
        <w:t xml:space="preserve">Risposta del sistema</w:t>
      </w:r>
    </w:p>
    <w:p>
      <w:pPr>
        <w:spacing w:after="40" w:before="120"/>
        <w:jc w:val="left"/>
      </w:pPr>
      <w:r>
        <w:rPr>
          <w:rFonts w:ascii="Arial" w:cs="Arial" w:eastAsia="Arial" w:hAnsi="Arial"/>
          <w:b/>
          <w:bCs/>
          <w:i w:val="false"/>
          <w:iCs w:val="false"/>
          <w:color w:val="1F4E79"/>
          <w:sz w:val="21"/>
          <w:szCs w:val="21"/>
        </w:rPr>
        <w:t xml:space="preserve">QUALIFICAZIONE</w:t>
      </w:r>
    </w:p>
    <w:p>
      <w:pPr>
        <w:spacing w:after="30" w:before="40"/>
        <w:ind w:left="360"/>
        <w:jc w:val="left"/>
      </w:pPr>
      <w:r>
        <w:rPr>
          <w:rFonts w:ascii="Arial" w:cs="Arial" w:eastAsia="Arial" w:hAnsi="Arial"/>
          <w:b w:val="false"/>
          <w:bCs w:val="false"/>
          <w:i w:val="false"/>
          <w:iCs w:val="false"/>
          <w:color w:val="222222"/>
          <w:sz w:val="20"/>
          <w:szCs w:val="20"/>
        </w:rPr>
        <w:t xml:space="preserve">Il sequestro preventivo finalizzato alla confisca può essere disposto in un procedimento per reato tributario. Il rapporto tra sequestro penale e misure cautelari fiscali è specificato dalla normativa.</w:t>
      </w:r>
    </w:p>
    <w:p>
      <w:pPr>
        <w:spacing w:after="40" w:before="120"/>
        <w:jc w:val="left"/>
      </w:pPr>
      <w:r>
        <w:rPr>
          <w:rFonts w:ascii="Arial" w:cs="Arial" w:eastAsia="Arial" w:hAnsi="Arial"/>
          <w:b/>
          <w:bCs/>
          <w:i w:val="false"/>
          <w:iCs w:val="false"/>
          <w:color w:val="1F4E79"/>
          <w:sz w:val="21"/>
          <w:szCs w:val="21"/>
        </w:rPr>
        <w:t xml:space="preserve">NORMA APPLICABILE</w:t>
      </w:r>
    </w:p>
    <w:p>
      <w:pPr>
        <w:spacing w:after="30" w:before="40"/>
        <w:ind w:left="360"/>
        <w:jc w:val="left"/>
      </w:pPr>
      <w:r>
        <w:rPr>
          <w:rFonts w:ascii="Arial" w:cs="Arial" w:eastAsia="Arial" w:hAnsi="Arial"/>
          <w:b w:val="false"/>
          <w:bCs w:val="false"/>
          <w:i w:val="false"/>
          <w:iCs w:val="false"/>
          <w:color w:val="222222"/>
          <w:sz w:val="20"/>
          <w:szCs w:val="20"/>
        </w:rPr>
        <w:t xml:space="preserve">Il sequestro preventivo finalizzato alla confisca è regolato dall'articolo 1218 del Codice di procedura penale (CC). Non esiste una specifica norma per il rapporto tra sequestro penale e misure cautelari fiscali, ma si riferisce al generale articolo 355 del Codice di procedura penale.</w:t>
      </w:r>
    </w:p>
    <w:p>
      <w:pPr>
        <w:spacing w:after="40" w:before="120"/>
        <w:jc w:val="left"/>
      </w:pPr>
      <w:r>
        <w:rPr>
          <w:rFonts w:ascii="Arial" w:cs="Arial" w:eastAsia="Arial" w:hAnsi="Arial"/>
          <w:b/>
          <w:bCs/>
          <w:i w:val="false"/>
          <w:iCs w:val="false"/>
          <w:color w:val="1F4E79"/>
          <w:sz w:val="21"/>
          <w:szCs w:val="21"/>
        </w:rPr>
        <w:t xml:space="preserve">GIURISPRUDENZA</w:t>
      </w:r>
    </w:p>
    <w:p>
      <w:pPr>
        <w:spacing w:after="30" w:before="40"/>
        <w:ind w:left="360"/>
        <w:jc w:val="left"/>
      </w:pPr>
      <w:r>
        <w:rPr>
          <w:rFonts w:ascii="Arial" w:cs="Arial" w:eastAsia="Arial" w:hAnsi="Arial"/>
          <w:b w:val="false"/>
          <w:bCs w:val="false"/>
          <w:i w:val="false"/>
          <w:iCs w:val="false"/>
          <w:color w:val="222222"/>
          <w:sz w:val="20"/>
          <w:szCs w:val="20"/>
        </w:rPr>
        <w:t xml:space="preserve">La giurisprudenza della Cassazione sottolinea l'importanza di motivare correttamente il decreto di sequestro probatorio, anche in relazione al rapporto tra misure penali e fiscali. Non esiste una specifica giurisprudenza sul rapporto tra sequestro penale e misure cautelari fiscali.</w:t>
      </w:r>
    </w:p>
    <w:p>
      <w:pPr>
        <w:spacing w:after="40" w:before="120"/>
        <w:jc w:val="left"/>
      </w:pPr>
      <w:r>
        <w:rPr>
          <w:rFonts w:ascii="Arial" w:cs="Arial" w:eastAsia="Arial" w:hAnsi="Arial"/>
          <w:b/>
          <w:bCs/>
          <w:i w:val="false"/>
          <w:iCs w:val="false"/>
          <w:color w:val="1F4E79"/>
          <w:sz w:val="21"/>
          <w:szCs w:val="21"/>
        </w:rPr>
        <w:t xml:space="preserve">VALUTAZIONE</w:t>
      </w:r>
    </w:p>
    <w:p>
      <w:pPr>
        <w:spacing w:after="30" w:before="40"/>
        <w:ind w:left="360"/>
        <w:jc w:val="left"/>
      </w:pPr>
      <w:r>
        <w:rPr>
          <w:rFonts w:ascii="Arial" w:cs="Arial" w:eastAsia="Arial" w:hAnsi="Arial"/>
          <w:b w:val="false"/>
          <w:bCs w:val="false"/>
          <w:i w:val="false"/>
          <w:iCs w:val="false"/>
          <w:color w:val="222222"/>
          <w:sz w:val="20"/>
          <w:szCs w:val="20"/>
        </w:rPr>
        <w:t xml:space="preserve">VALUTAZIONE PERSONALE: La valutazione della giurisprudenza suggerisce che la normativa e le pratiche attuali sono sufficienti per gestire il rapporto tra sequestro penale e misure cautelari fiscali, ma potrebbe essere necessario un maggiore specificamento.</w:t>
      </w:r>
    </w:p>
    <w:p>
      <w:pPr>
        <w:spacing w:after="40" w:before="120"/>
        <w:jc w:val="left"/>
      </w:pPr>
      <w:r>
        <w:rPr>
          <w:rFonts w:ascii="Arial" w:cs="Arial" w:eastAsia="Arial" w:hAnsi="Arial"/>
          <w:b/>
          <w:bCs/>
          <w:i w:val="false"/>
          <w:iCs w:val="false"/>
          <w:color w:val="1F4E79"/>
          <w:sz w:val="21"/>
          <w:szCs w:val="21"/>
        </w:rPr>
        <w:t xml:space="preserve">GAP ANALYSIS</w:t>
      </w:r>
    </w:p>
    <w:p>
      <w:pPr>
        <w:spacing w:after="30" w:before="40"/>
        <w:ind w:left="360"/>
        <w:jc w:val="left"/>
      </w:pPr>
      <w:r>
        <w:rPr>
          <w:rFonts w:ascii="Arial" w:cs="Arial" w:eastAsia="Arial" w:hAnsi="Arial"/>
          <w:b w:val="false"/>
          <w:bCs w:val="false"/>
          <w:i w:val="false"/>
          <w:iCs w:val="false"/>
          <w:color w:val="222222"/>
          <w:sz w:val="20"/>
          <w:szCs w:val="20"/>
        </w:rPr>
        <w:t xml:space="preserve">Il Packet manca di una specifica normativa o giurisprudenza che esplori il rapporto tra sequestro penale e misure cautelari fiscali in un contesto tributario.</w:t>
      </w:r>
    </w:p>
    <w:p>
      <w:pPr>
        <w:spacing w:after="0" w:before="100"/>
      </w:pPr>
    </w:p>
    <w:p>
      <w:pPr>
        <w:pBdr>
          <w:bottom w:val="single" w:color="2E75B6" w:sz="8"/>
        </w:pBdr>
        <w:spacing w:after="80" w:before="160"/>
      </w:pPr>
      <w:r>
        <w:rPr>
          <w:rFonts w:ascii="Arial" w:cs="Arial" w:eastAsia="Arial" w:hAnsi="Arial"/>
          <w:b/>
          <w:bCs/>
          <w:color w:val="2E75B6"/>
          <w:sz w:val="26"/>
          <w:szCs w:val="26"/>
        </w:rPr>
        <w:t xml:space="preserve">Valutazione automatica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Reviewer</w:t>
            </w:r>
          </w:p>
        </w:tc>
        <w:tc>
          <w:tcPr>
            <w:tcW w:type="dxa" w:w="224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FAIL → RE_RETRIEVAL</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Confidenza</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7D5A00"/>
                <w:sz w:val="19"/>
                <w:szCs w:val="19"/>
              </w:rPr>
              <w:t xml:space="preserve">MEDIUM</w:t>
            </w:r>
          </w:p>
        </w:tc>
      </w:tr>
    </w:tbl>
    <w:p>
      <w:pPr>
        <w:spacing w:after="0" w:before="80"/>
      </w:pPr>
    </w:p>
    <w:p>
      <w:pPr>
        <w:pBdr>
          <w:bottom w:val="single" w:color="1E7145" w:sz="8"/>
        </w:pBdr>
        <w:spacing w:after="80" w:before="160"/>
      </w:pPr>
      <w:r>
        <w:rPr>
          <w:rFonts w:ascii="Arial" w:cs="Arial" w:eastAsia="Arial" w:hAnsi="Arial"/>
          <w:b/>
          <w:bCs/>
          <w:color w:val="1E7145"/>
          <w:sz w:val="26"/>
          <w:szCs w:val="26"/>
        </w:rPr>
        <w:t xml:space="preserve">Fonti giurisprudenziali citate</w:t>
      </w:r>
    </w:p>
    <w:p>
      <w:pPr>
        <w:spacing w:after="80" w:before="60"/>
        <w:jc w:val="left"/>
      </w:pPr>
      <w:r>
        <w:rPr>
          <w:rFonts w:ascii="Arial" w:cs="Arial" w:eastAsia="Arial" w:hAnsi="Arial"/>
          <w:b w:val="false"/>
          <w:bCs w:val="false"/>
          <w:i/>
          <w:iCs/>
          <w:color w:val="1E7145"/>
          <w:sz w:val="19"/>
          <w:szCs w:val="19"/>
        </w:rPr>
        <w:t xml:space="preserve">Il sistema ha recuperato 10 sentenze dalla knowledge base giurisprudenziale.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700"/>
        <w:gridCol w:w="36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ID / Organo</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Estratto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n.3621/2026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3.672</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elettronico sottoposto a sequestro (ex multis, Sez. 2, n. 37409 del 10/09/2024, Rv. 286989). Tuttavia, se il sequestro probatorio riguarda un dispositivo contenente dati informatici, sussiste comunque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n.1026/2025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2.471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 delimitare il perimetro di acquisizione dei dati, e non sui presupposti del sequestro stesso, che per sua natura probatoria rimane atto esclusivo del pubblico ministero. Osserva il ricorrente che, p</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n.15890/2026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0.724</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conla distrazione richiesta.Non si ravvisano però i presupposti per la condanna dellaricorrente ex art. 96 cod. proc. civ. chiesta dalla controricorrente.In considerazione dell’esito del ricorso, ai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n.19278/2026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0.699</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la possibilità di prescrizioni tecniche. 6. Con Il quarto motivo rappresenta il vizio di violazione di legge per l'omessa considerazione dell'effetto preclusivo, derivante dall'annullamento di un pr</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n.11608/2026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0.127</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ha confermato il sequestro, non ha dissequestrato alcunché e ha demandato, inmodo del tutto irrituale, al pubblico ministero ulteriori accertamenti (sul valore dei corrispettiviottenuti dal primo 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n.37380/2025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-0.365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della sentenza pronunciata ex art. 444 cod. proc. pen. nei riguardi dell'imputato, nella parte relativa alla statuizione della confisca. La cognizione del tribunale in sede di appello cautelare ex art</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n.37641/2025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-2.086</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informatico sia disposto dal giudice o da un organo amministrativo indipendente. CONSIDERATO IN DIRITTO 1. Il primo motivo è fondato. 1.1. Gli artt. 253, comma 1, e 355, comma 2, cod. proc. pen. preve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n.16709/2025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-2.207</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Ancora per ciò che specificamente inerisce alla normativa previgente, in tema di procedimento di esecuzione delle pene pecuniarie, giova precisare quanto segue. Allorquando avesse sortito un esito neg</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n.38171/2025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-3.796</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della custodia cautelare, ove venivanovalorizzati gli stessi elementi –l'omessa custodia del veicolo, il successivo trasporto della droga in assenza di persone da trasferire, la presenza nell'abitacol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n.12805/2026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-4.106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ha ottenuto copia dell'ordinanza solo in data 22 ottobre 2025 a seguito di accesso agli atti. Ulteriore doglianza, investe la violazione dell'art. 260 -bis cod. proc. pen., per avere il Tribunale ri</w:t>
            </w:r>
          </w:p>
        </w:tc>
      </w:tr>
    </w:tbl>
    <w:p>
      <w:pPr>
        <w:spacing w:after="0" w:before="80"/>
      </w:pPr>
    </w:p>
    <w:p>
      <w:pPr>
        <w:pBdr>
          <w:bottom w:val="single" w:color="2E75B6" w:sz="8"/>
        </w:pBdr>
        <w:spacing w:after="80" w:before="160"/>
      </w:pPr>
      <w:r>
        <w:rPr>
          <w:rFonts w:ascii="Arial" w:cs="Arial" w:eastAsia="Arial" w:hAnsi="Arial"/>
          <w:b/>
          <w:bCs/>
          <w:color w:val="2E75B6"/>
          <w:sz w:val="26"/>
          <w:szCs w:val="26"/>
        </w:rPr>
        <w:t xml:space="preserve">Rubrica di valutazione — da compilare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0"/>
        <w:gridCol w:w="49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Valutazione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Correttezza giuridica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Pertinenza fonti normative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Qualità giurisprudenza citata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Allucinazioni / errori fattuali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Sì / No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Giurisprudenza mancante rilevante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Note libere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bl>
    <w:p>
      <w:pPr>
        <w:pageBreakBefore/>
        <w:spacing w:after="100" w:before="0"/>
      </w:pPr>
      <w:r>
        <w:rPr>
          <w:rFonts w:ascii="Arial" w:cs="Arial" w:eastAsia="Arial" w:hAnsi="Arial"/>
          <w:b/>
          <w:bCs/>
          <w:color w:val="1F4E79"/>
          <w:sz w:val="26"/>
          <w:szCs w:val="26"/>
        </w:rPr>
        <w:t xml:space="preserve">Scheda 10 di 10 — </w:t>
      </w:r>
      <w:r>
        <w:rPr>
          <w:rFonts w:ascii="Arial" w:cs="Arial" w:eastAsia="Arial" w:hAnsi="Arial"/>
          <w:b/>
          <w:bCs/>
          <w:color w:val="2E75B6"/>
          <w:sz w:val="26"/>
          <w:szCs w:val="26"/>
        </w:rPr>
        <w:t xml:space="preserve">Penale Tributario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Difficoltà: Molto difficile</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Norma: D.Lgs. 74/2000 art. 4 / TUIR</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8"/>
                <w:szCs w:val="18"/>
              </w:rPr>
              <w:t xml:space="preserve">Giurisprudenza: 10/10 fonti</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Tempo: 33857 ms</w:t>
            </w:r>
          </w:p>
        </w:tc>
      </w:tr>
    </w:tbl>
    <w:p>
      <w:pPr>
        <w:spacing w:after="0" w:before="120"/>
      </w:pPr>
    </w:p>
    <w:p>
      <w:pPr>
        <w:pBdr>
          <w:bottom w:val="single" w:color="2E75B6" w:sz="8"/>
        </w:pBdr>
        <w:spacing w:after="80" w:before="160"/>
      </w:pPr>
      <w:r>
        <w:rPr>
          <w:rFonts w:ascii="Arial" w:cs="Arial" w:eastAsia="Arial" w:hAnsi="Arial"/>
          <w:b/>
          <w:bCs/>
          <w:color w:val="2E75B6"/>
          <w:sz w:val="26"/>
          <w:szCs w:val="26"/>
        </w:rPr>
        <w:t xml:space="preserve">Scenario (query sottoposta al sistema)</w:t>
      </w:r>
    </w:p>
    <w:p>
      <w:pPr>
        <w:spacing w:after="80" w:before="80"/>
        <w:jc w:val="left"/>
      </w:pPr>
      <w:r>
        <w:rPr>
          <w:rFonts w:ascii="Arial" w:cs="Arial" w:eastAsia="Arial" w:hAnsi="Arial"/>
          <w:b w:val="false"/>
          <w:bCs w:val="false"/>
          <w:i/>
          <w:iCs/>
          <w:color w:val="333333"/>
          <w:sz w:val="21"/>
          <w:szCs w:val="21"/>
        </w:rPr>
        <w:t xml:space="preserve">Come si determina la base imponibile IRPEF/IRES ai fini del calcolo dell'imposta evasa nel reato di dichiarazione infedele ex art. 4 D.Lgs. 74/2000? Quali componenti reddituali del TUIR rilevano per la soglia di punibilità?</w:t>
      </w:r>
    </w:p>
    <w:p>
      <w:pPr>
        <w:spacing w:after="0" w:before="80"/>
      </w:pPr>
    </w:p>
    <w:p>
      <w:pPr>
        <w:pBdr>
          <w:bottom w:val="single" w:color="2E75B6" w:sz="8"/>
        </w:pBdr>
        <w:spacing w:after="80" w:before="160"/>
      </w:pPr>
      <w:r>
        <w:rPr>
          <w:rFonts w:ascii="Arial" w:cs="Arial" w:eastAsia="Arial" w:hAnsi="Arial"/>
          <w:b/>
          <w:bCs/>
          <w:color w:val="2E75B6"/>
          <w:sz w:val="26"/>
          <w:szCs w:val="26"/>
        </w:rPr>
        <w:t xml:space="preserve">Risposta del sistema</w:t>
      </w:r>
    </w:p>
    <w:p>
      <w:pPr>
        <w:spacing w:after="40" w:before="120"/>
        <w:jc w:val="left"/>
      </w:pPr>
      <w:r>
        <w:rPr>
          <w:rFonts w:ascii="Arial" w:cs="Arial" w:eastAsia="Arial" w:hAnsi="Arial"/>
          <w:b/>
          <w:bCs/>
          <w:i w:val="false"/>
          <w:iCs w:val="false"/>
          <w:color w:val="1F4E79"/>
          <w:sz w:val="21"/>
          <w:szCs w:val="21"/>
        </w:rPr>
        <w:t xml:space="preserve">QUALIFICAZIONE</w:t>
      </w:r>
    </w:p>
    <w:p>
      <w:pPr>
        <w:spacing w:after="30" w:before="40"/>
        <w:ind w:left="360"/>
        <w:jc w:val="left"/>
      </w:pPr>
      <w:r>
        <w:rPr>
          <w:rFonts w:ascii="Arial" w:cs="Arial" w:eastAsia="Arial" w:hAnsi="Arial"/>
          <w:b w:val="false"/>
          <w:bCs w:val="false"/>
          <w:i w:val="false"/>
          <w:iCs w:val="false"/>
          <w:color w:val="222222"/>
          <w:sz w:val="20"/>
          <w:szCs w:val="20"/>
        </w:rPr>
        <w:t xml:space="preserve">La base imponibile IRPEF/IRES ai fini del calcolo dell'imposta evasa nel reato di dichiarazione infedele ex art. 4 D.Lgs. 74/2000 si determina considerando i redditi totali (TUIR) rilevanti per la soglia di punibilità.</w:t>
      </w:r>
    </w:p>
    <w:p>
      <w:pPr>
        <w:spacing w:after="40" w:before="120"/>
        <w:jc w:val="left"/>
      </w:pPr>
      <w:r>
        <w:rPr>
          <w:rFonts w:ascii="Arial" w:cs="Arial" w:eastAsia="Arial" w:hAnsi="Arial"/>
          <w:b/>
          <w:bCs/>
          <w:i w:val="false"/>
          <w:iCs w:val="false"/>
          <w:color w:val="1F4E79"/>
          <w:sz w:val="21"/>
          <w:szCs w:val="21"/>
        </w:rPr>
        <w:t xml:space="preserve">NORMA APPLICABILE</w:t>
      </w:r>
    </w:p>
    <w:p>
      <w:pPr>
        <w:spacing w:after="30" w:before="40"/>
        <w:ind w:left="360"/>
        <w:jc w:val="left"/>
      </w:pPr>
      <w:r>
        <w:rPr>
          <w:rFonts w:ascii="Arial" w:cs="Arial" w:eastAsia="Arial" w:hAnsi="Arial"/>
          <w:b w:val="false"/>
          <w:bCs w:val="false"/>
          <w:i w:val="false"/>
          <w:iCs w:val="false"/>
          <w:color w:val="222222"/>
          <w:sz w:val="20"/>
          <w:szCs w:val="20"/>
        </w:rPr>
        <w:t xml:space="preserve">Il reato di dichiarazione infedele ex art. 4 D.Lgs. 74/2000 si riferisce alla non presentazione della dichiarazione relativa all'imposta sui redditi, con conseguente evasione del pagamento dell'ammontare dovuto.</w:t>
      </w:r>
    </w:p>
    <w:p>
      <w:pPr>
        <w:spacing w:after="40" w:before="120"/>
        <w:jc w:val="left"/>
      </w:pPr>
      <w:r>
        <w:rPr>
          <w:rFonts w:ascii="Arial" w:cs="Arial" w:eastAsia="Arial" w:hAnsi="Arial"/>
          <w:b/>
          <w:bCs/>
          <w:i w:val="false"/>
          <w:iCs w:val="false"/>
          <w:color w:val="1F4E79"/>
          <w:sz w:val="21"/>
          <w:szCs w:val="21"/>
        </w:rPr>
        <w:t xml:space="preserve">GIURISPRUDENZA</w:t>
      </w:r>
    </w:p>
    <w:p>
      <w:pPr>
        <w:spacing w:after="30" w:before="40"/>
        <w:ind w:left="360"/>
        <w:jc w:val="left"/>
      </w:pPr>
      <w:r>
        <w:rPr>
          <w:rFonts w:ascii="Arial" w:cs="Arial" w:eastAsia="Arial" w:hAnsi="Arial"/>
          <w:b w:val="false"/>
          <w:bCs w:val="false"/>
          <w:i w:val="false"/>
          <w:iCs w:val="false"/>
          <w:color w:val="222222"/>
          <w:sz w:val="20"/>
          <w:szCs w:val="20"/>
        </w:rPr>
        <w:t xml:space="preserve">La giurisprudenza della Cassazione evidenzia che i maggiori redditi accertati, come quelli per l’anno d'imposta 2006 e 2008, sono stati considerati nel calcolo dell'imposta evasa. Inoltre, la Cassazione ha confermato l'obbligo di versamento del contributo unificato in base al TUIR.</w:t>
      </w:r>
    </w:p>
    <w:p>
      <w:pPr>
        <w:spacing w:after="40" w:before="120"/>
        <w:jc w:val="left"/>
      </w:pPr>
      <w:r>
        <w:rPr>
          <w:rFonts w:ascii="Arial" w:cs="Arial" w:eastAsia="Arial" w:hAnsi="Arial"/>
          <w:b/>
          <w:bCs/>
          <w:i w:val="false"/>
          <w:iCs w:val="false"/>
          <w:color w:val="1F4E79"/>
          <w:sz w:val="21"/>
          <w:szCs w:val="21"/>
        </w:rPr>
        <w:t xml:space="preserve">VALUTAZIONE</w:t>
      </w:r>
    </w:p>
    <w:p>
      <w:pPr>
        <w:spacing w:after="30" w:before="40"/>
        <w:ind w:left="360"/>
        <w:jc w:val="left"/>
      </w:pPr>
      <w:r>
        <w:rPr>
          <w:rFonts w:ascii="Arial" w:cs="Arial" w:eastAsia="Arial" w:hAnsi="Arial"/>
          <w:b w:val="false"/>
          <w:bCs w:val="false"/>
          <w:i w:val="false"/>
          <w:iCs w:val="false"/>
          <w:color w:val="222222"/>
          <w:sz w:val="20"/>
          <w:szCs w:val="20"/>
        </w:rPr>
        <w:t xml:space="preserve">VALUTAZIONE PERSONALE: La giurisprudenza conferma che i componenti del TUIR rilevanti per la soglia di punibilità sono considerati nel calcolo dell'imposta evasa. La solidità della valutazione è alta in quanto basata su precedenti della Cassazione.</w:t>
      </w:r>
    </w:p>
    <w:p>
      <w:pPr>
        <w:spacing w:after="40" w:before="120"/>
        <w:jc w:val="left"/>
      </w:pPr>
      <w:r>
        <w:rPr>
          <w:rFonts w:ascii="Arial" w:cs="Arial" w:eastAsia="Arial" w:hAnsi="Arial"/>
          <w:b/>
          <w:bCs/>
          <w:i w:val="false"/>
          <w:iCs w:val="false"/>
          <w:color w:val="1F4E79"/>
          <w:sz w:val="21"/>
          <w:szCs w:val="21"/>
        </w:rPr>
        <w:t xml:space="preserve">GAP ANALYSIS</w:t>
      </w:r>
    </w:p>
    <w:p>
      <w:pPr>
        <w:spacing w:after="30" w:before="40"/>
        <w:ind w:left="360"/>
        <w:jc w:val="left"/>
      </w:pPr>
      <w:r>
        <w:rPr>
          <w:rFonts w:ascii="Arial" w:cs="Arial" w:eastAsia="Arial" w:hAnsi="Arial"/>
          <w:b w:val="false"/>
          <w:bCs w:val="false"/>
          <w:i w:val="false"/>
          <w:iCs w:val="false"/>
          <w:color w:val="222222"/>
          <w:sz w:val="20"/>
          <w:szCs w:val="20"/>
        </w:rPr>
        <w:t xml:space="preserve">Il Packet manca di una specifica definizione del TUIR e dei suoi componenti, che sarebbe utile per una valutazione più dettagliata.</w:t>
      </w:r>
    </w:p>
    <w:p>
      <w:pPr>
        <w:spacing w:after="0" w:before="100"/>
      </w:pPr>
    </w:p>
    <w:p>
      <w:pPr>
        <w:pBdr>
          <w:bottom w:val="single" w:color="2E75B6" w:sz="8"/>
        </w:pBdr>
        <w:spacing w:after="80" w:before="160"/>
      </w:pPr>
      <w:r>
        <w:rPr>
          <w:rFonts w:ascii="Arial" w:cs="Arial" w:eastAsia="Arial" w:hAnsi="Arial"/>
          <w:b/>
          <w:bCs/>
          <w:color w:val="2E75B6"/>
          <w:sz w:val="26"/>
          <w:szCs w:val="26"/>
        </w:rPr>
        <w:t xml:space="preserve">Valutazione automatica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Reviewer</w:t>
            </w:r>
          </w:p>
        </w:tc>
        <w:tc>
          <w:tcPr>
            <w:tcW w:type="dxa" w:w="2240"/>
            <w:tcBorders>
              <w:top w:val="single" w:color="CCCCCC" w:sz="1"/>
              <w:left w:val="single" w:color="CCCCCC" w:sz="1"/>
              <w:bottom w:val="single" w:color="CCCCCC" w:sz="1"/>
              <w:right w:val="single" w:color="CCCCCC" w:sz="1"/>
            </w:tcBorders>
            <w:shd w:fill="D9EDD4" w:val="clear"/>
            <w:tcMar>
              <w:top w:type="dxa" w:w="80"/>
              <w:left w:type="dxa" w:w="120"/>
              <w:bottom w:type="dxa" w:w="80"/>
              <w:right w:type="dxa" w:w="120"/>
            </w:tcMar>
            <w:vAlign w:val="center"/>
          </w:tcPr>
          <w:p>
            <w:pPr>
              <w:jc w:val="left"/>
            </w:pPr>
            <w:r>
              <w:rPr>
                <w:rFonts w:ascii="Arial" w:cs="Arial" w:eastAsia="Arial" w:hAnsi="Arial"/>
                <w:b/>
                <w:bCs/>
                <w:color w:val="1E7145"/>
                <w:sz w:val="19"/>
                <w:szCs w:val="19"/>
              </w:rPr>
              <w:t xml:space="preserve">PASS → DELIVER</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Confidenza</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E7145"/>
                <w:sz w:val="19"/>
                <w:szCs w:val="19"/>
              </w:rPr>
              <w:t xml:space="preserve">HIGH</w:t>
            </w:r>
          </w:p>
        </w:tc>
      </w:tr>
    </w:tbl>
    <w:p>
      <w:pPr>
        <w:spacing w:after="0" w:before="80"/>
      </w:pPr>
    </w:p>
    <w:p>
      <w:pPr>
        <w:pBdr>
          <w:bottom w:val="single" w:color="1E7145" w:sz="8"/>
        </w:pBdr>
        <w:spacing w:after="80" w:before="160"/>
      </w:pPr>
      <w:r>
        <w:rPr>
          <w:rFonts w:ascii="Arial" w:cs="Arial" w:eastAsia="Arial" w:hAnsi="Arial"/>
          <w:b/>
          <w:bCs/>
          <w:color w:val="1E7145"/>
          <w:sz w:val="26"/>
          <w:szCs w:val="26"/>
        </w:rPr>
        <w:t xml:space="preserve">Fonti giurisprudenziali citate</w:t>
      </w:r>
    </w:p>
    <w:p>
      <w:pPr>
        <w:spacing w:after="80" w:before="60"/>
        <w:jc w:val="left"/>
      </w:pPr>
      <w:r>
        <w:rPr>
          <w:rFonts w:ascii="Arial" w:cs="Arial" w:eastAsia="Arial" w:hAnsi="Arial"/>
          <w:b w:val="false"/>
          <w:bCs w:val="false"/>
          <w:i/>
          <w:iCs/>
          <w:color w:val="1E7145"/>
          <w:sz w:val="19"/>
          <w:szCs w:val="19"/>
        </w:rPr>
        <w:t xml:space="preserve">Il sistema ha recuperato 10 sentenze dalla knowledge base giurisprudenziale.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700"/>
        <w:gridCol w:w="36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ID / Organo</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Estratto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n.15708/2026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1.306</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veva un avviso di accertamento per l’annod’imposta 2006 ai fini Irpef, per aver indicato compensi per euro7.400,00 provenienti da Health Club 2 srl, come “redditi diversi” nonsoggetti a tassazione. Un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n.14053/2026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-1.993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 con ilquale, ai fini IRES, addizionali, IRAP e IVA, erano accertati maggioriricavi per euro 62.752,00 per l’anno d’imposta 2008. Nel corso delcontraddittorio endoprocedimentale al contribuente, ch</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n.8964/2026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-2.786</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del 1973 atitolo di omessi versamenti Irpef, Irap e Iva per l’anno d’imposta2007. Dopo aver premesso di non aver ricevuto l’avviso bonario, ilNumero registro generale 29880/2017Numero sezionale 2519/2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n.5436/2025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-3.212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in relazione al reato di cui all'art. 5 D.Lgs. n. 74/2000, per non aver presentato, essendovi l'obbligo, la dichiarazione relativa alla imposta sui redditi, con conseguente evasione del pagamento de</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n.16145/2026
[motivazione]</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-4.584</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001VS00337, con il quale l’Agenzia delle entrate accertava unmaggior reddito per l’anno di imposta 2006, rideterminando leimposte (IVA ed IRAP). L’avviso si fondava sul processo verbale diconstatazion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n.25138/2025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-7.473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Ricorrono i presupposti processuali per dichiarare la ricorrente tenuta al pagamento di una somma di importo pari al contributo unificato previsto per la presente impugnazione, se dovuto, ai sensi d</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n.13620/2026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-8.512</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.Ai sensi dell'art. 13 co. 1-quater d.p.r. n. 115 del 2002 va dato atto delsussistere dei presupposti per il versamento dell'ulteriore importo pari alcontributo unificato dovuto per il ricorso a norma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n.17277/2025
[dispositivo]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-8.574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in favore del controricorrente. Occorre dare atto che sussistono i presupposti processuali di cui all’art. 13 comma 1-quater D.P.R. n. 115/2002 per imporre un ulteriore contributo unificato a carico</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w:t>
            </w:r>
          </w:p>
        </w:tc>
        <w:tc>
          <w:tcPr>
            <w:tcW w:type="dxa" w:w="4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n.28245/2025
[dispositivo]</w:t>
            </w:r>
          </w:p>
        </w:tc>
        <w:tc>
          <w:tcPr>
            <w:tcW w:type="dxa" w:w="7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-8.677</w:t>
            </w:r>
          </w:p>
        </w:tc>
        <w:tc>
          <w:tcPr>
            <w:tcW w:type="dxa" w:w="36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Sussistono, infine, i presupposti, ai sensi dell’articolo 13 comma 1quater del d.P.R. n. 115/2002, per il versamento, da parte dellaricorrente, dell’ulteriore importo a titolo di contributo unificat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CASSAZIONE n.10836/2026
[motivazione]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-8.72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 generale 24581/2018Numero sezionale 3034/2026Numero di raccolta generale 10836/2026Data pubblicazione 23/04/20261. In data 25/06/2014 l’Agenzia delle entrate notificava alcontribuente la cartella n.</w:t>
            </w:r>
          </w:p>
        </w:tc>
      </w:tr>
    </w:tbl>
    <w:p>
      <w:pPr>
        <w:spacing w:after="0" w:before="80"/>
      </w:pPr>
    </w:p>
    <w:p>
      <w:pPr>
        <w:pBdr>
          <w:bottom w:val="single" w:color="2E75B6" w:sz="8"/>
        </w:pBdr>
        <w:spacing w:after="80" w:before="160"/>
      </w:pPr>
      <w:r>
        <w:rPr>
          <w:rFonts w:ascii="Arial" w:cs="Arial" w:eastAsia="Arial" w:hAnsi="Arial"/>
          <w:b/>
          <w:bCs/>
          <w:color w:val="2E75B6"/>
          <w:sz w:val="26"/>
          <w:szCs w:val="26"/>
        </w:rPr>
        <w:t xml:space="preserve">Rubrica di valutazione — da compilare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0"/>
        <w:gridCol w:w="49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Valutazione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Correttezza giuridica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Pertinenza fonti normative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Qualità giurisprudenza citata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1  2  3  4  5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Allucinazioni / errori fattuali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Sì / No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Giurisprudenza mancante rilevante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Note libere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after="0" w:before="80"/>
      <w:jc w:val="right"/>
    </w:pPr>
    <w:r>
      <w:rPr>
        <w:rFonts w:ascii="Arial" w:cs="Arial" w:eastAsia="Arial" w:hAnsi="Arial"/>
        <w:color w:val="595959"/>
        <w:sz w:val="16"/>
        <w:szCs w:val="16"/>
      </w:rPr>
      <w:t xml:space="preserve">Pagina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di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before="0"/>
    </w:pPr>
    <w:r>
      <w:rPr>
        <w:rFonts w:ascii="Arial" w:cs="Arial" w:eastAsia="Arial" w:hAnsi="Arial"/>
        <w:color w:val="595959"/>
        <w:sz w:val="16"/>
        <w:szCs w:val="16"/>
      </w:rPr>
      <w:t xml:space="preserve">AiUra LegalLab  |  Golden Test Set v2  |  Penale Tributario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2026-06-03T06:58:05.926Z</dcterms:created>
  <dcterms:modified xsi:type="dcterms:W3CDTF">2026-06-03T06:58:05.927Z</dcterms:modified>
</cp:coreProperties>
</file>

<file path=docProps/custom.xml><?xml version="1.0" encoding="utf-8"?>
<Properties xmlns="http://schemas.openxmlformats.org/officeDocument/2006/custom-properties" xmlns:vt="http://schemas.openxmlformats.org/officeDocument/2006/docPropsVTypes"/>
</file>