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bottomFromText="0" w:horzAnchor="margin" w:leftFromText="180" w:rightFromText="180" w:tblpX="0" w:tblpY="-7" w:topFromText="0" w:vertAnchor="text"/>
        <w:tblW w:w="10368" w:type="dxa"/>
        <w:jc w:val="left"/>
        <w:tblInd w:w="0" w:type="dxa"/>
        <w:tblCellMar>
          <w:top w:w="0" w:type="dxa"/>
          <w:left w:w="0" w:type="dxa"/>
          <w:bottom w:w="0" w:type="dxa"/>
          <w:right w:w="0" w:type="dxa"/>
        </w:tblCellMar>
        <w:tblLook w:val="0000" w:noHBand="0" w:noVBand="0" w:firstColumn="0" w:lastRow="0" w:lastColumn="0" w:firstRow="0"/>
      </w:tblPr>
      <w:tblGrid>
        <w:gridCol w:w="5903"/>
        <w:gridCol w:w="4464"/>
      </w:tblGrid>
      <w:tr>
        <w:trPr>
          <w:trHeight w:val="3119" w:hRule="exact"/>
        </w:trPr>
        <w:tc>
          <w:tcPr>
            <w:tcW w:w="5903" w:type="dxa"/>
            <w:tcBorders/>
            <w:shd w:color="auto" w:fill="FFFFFF" w:themeFill="background1" w:val="clear"/>
          </w:tcPr>
          <w:p>
            <w:pPr>
              <w:pStyle w:val="Ttulogeneral"/>
              <w:rPr>
                <w:rFonts w:ascii="FreeSans" w:hAnsi="FreeSans"/>
              </w:rPr>
            </w:pPr>
            <w:r>
              <w:rPr>
                <w:rFonts w:eastAsia="" w:cs="" w:ascii="FreeSans" w:hAnsi="FreeSans" w:cstheme="majorBidi" w:eastAsiaTheme="majorEastAsia"/>
                <w:b/>
                <w:bCs/>
                <w:color w:val="082A75"/>
                <w:sz w:val="44"/>
                <w:szCs w:val="44"/>
                <w:lang w:bidi="es-ES"/>
              </w:rPr>
              <w:t>CAPTURA Y REPRESENTACIÓN DE DECISIONES DE DISEÑO</w:t>
            </w:r>
          </w:p>
          <w:p>
            <w:pPr>
              <w:pStyle w:val="Ttulogeneral"/>
              <w:spacing w:before="0" w:after="0"/>
              <w:rPr>
                <w:rFonts w:ascii="FreeSans" w:hAnsi="FreeSans"/>
              </w:rPr>
            </w:pPr>
            <w:r>
              <w:rPr>
                <w:rFonts w:ascii="FreeSans" w:hAnsi="FreeSans"/>
                <w:sz w:val="52"/>
                <w:szCs w:val="52"/>
                <w:lang w:bidi="es-ES"/>
              </w:rPr>
              <w:t>PRÁCTICA 1</w:t>
            </w:r>
          </w:p>
          <w:p>
            <w:pPr>
              <w:pStyle w:val="Normal"/>
              <w:rPr/>
            </w:pPr>
            <w:r>
              <w:rPr/>
              <mc:AlternateContent>
                <mc:Choice Requires="wps">
                  <w:drawing>
                    <wp:inline distT="19050" distB="19050" distL="0" distR="19050" wp14:anchorId="325EECF4">
                      <wp:extent cx="1394460" cy="1270"/>
                      <wp:effectExtent l="0" t="19050" r="19050" b="19050"/>
                      <wp:docPr id="1" name="Forma1"/>
                      <a:graphic xmlns:a="http://schemas.openxmlformats.org/drawingml/2006/main">
                        <a:graphicData uri="http://schemas.microsoft.com/office/word/2010/wordprocessingShape">
                          <wps:wsp>
                            <wps:cNvSpPr/>
                            <wps:spPr>
                              <a:xfrm>
                                <a:off x="0" y="0"/>
                                <a:ext cx="1393920" cy="0"/>
                              </a:xfrm>
                              <a:prstGeom prst="line">
                                <a:avLst/>
                              </a:prstGeom>
                              <a:ln w="38160">
                                <a:solidFill>
                                  <a:schemeClr val="tx2"/>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3.05pt" to="109.7pt,-3.05pt" ID="Forma1" stroked="t" style="position:absolute;mso-position-vertical:top" wp14:anchorId="325EECF4">
                      <v:stroke color="#082a75" weight="38160" joinstyle="round" endcap="flat"/>
                      <v:fill o:detectmouseclick="t" on="false"/>
                    </v:line>
                  </w:pict>
                </mc:Fallback>
              </mc:AlternateContent>
            </w:r>
          </w:p>
        </w:tc>
        <w:tc>
          <w:tcPr>
            <w:tcW w:w="4464" w:type="dxa"/>
            <w:tcBorders/>
          </w:tcPr>
          <w:p>
            <w:pPr>
              <w:pStyle w:val="Normal"/>
              <w:rPr/>
            </w:pPr>
            <w:r>
              <w:rPr/>
            </w:r>
          </w:p>
        </w:tc>
      </w:tr>
      <w:tr>
        <w:trPr>
          <w:trHeight w:val="6831" w:hRule="exact"/>
        </w:trPr>
        <w:tc>
          <w:tcPr>
            <w:tcW w:w="5903" w:type="dxa"/>
            <w:tcBorders/>
            <w:shd w:color="auto" w:fill="FFFFFF" w:themeFill="background1" w:val="clear"/>
          </w:tcPr>
          <w:p>
            <w:pPr>
              <w:pStyle w:val="Normal"/>
              <w:rPr/>
            </w:pPr>
            <w:r>
              <w:rPr/>
            </w:r>
          </w:p>
        </w:tc>
        <w:tc>
          <w:tcPr>
            <w:tcW w:w="4464" w:type="dxa"/>
            <w:tcBorders/>
          </w:tcPr>
          <w:p>
            <w:pPr>
              <w:pStyle w:val="Normal"/>
              <w:rPr/>
            </w:pPr>
            <w:r>
              <w:rPr/>
            </w:r>
          </w:p>
        </w:tc>
      </w:tr>
      <w:tr>
        <w:trPr>
          <w:trHeight w:val="2621" w:hRule="exact"/>
        </w:trPr>
        <w:tc>
          <w:tcPr>
            <w:tcW w:w="5903" w:type="dxa"/>
            <w:tcBorders/>
            <w:shd w:color="auto" w:fill="FFFFFF" w:themeFill="background1" w:val="clear"/>
          </w:tcPr>
          <w:p>
            <w:pPr>
              <w:pStyle w:val="Normal"/>
              <w:rPr/>
            </w:pPr>
            <w:r>
              <w:rPr>
                <w:rStyle w:val="SubtitleChar"/>
                <w:b w:val="false"/>
                <w:lang w:bidi="es-ES"/>
              </w:rPr>
              <w:t>22/11/2021</w:t>
            </w:r>
          </w:p>
          <w:p>
            <w:pPr>
              <w:pStyle w:val="Normal"/>
              <w:rPr>
                <w:sz w:val="10"/>
                <w:szCs w:val="10"/>
              </w:rPr>
            </w:pPr>
            <w:r>
              <w:rPr/>
              <mc:AlternateContent>
                <mc:Choice Requires="wps">
                  <w:drawing>
                    <wp:inline distT="19050" distB="19050" distL="0" distR="30480" wp14:anchorId="05221EEA">
                      <wp:extent cx="1497330" cy="1270"/>
                      <wp:effectExtent l="0" t="19050" r="30480" b="19050"/>
                      <wp:docPr id="2" name="Forma2"/>
                      <a:graphic xmlns:a="http://schemas.openxmlformats.org/drawingml/2006/main">
                        <a:graphicData uri="http://schemas.microsoft.com/office/word/2010/wordprocessingShape">
                          <wps:wsp>
                            <wps:cNvSpPr/>
                            <wps:spPr>
                              <a:xfrm>
                                <a:off x="0" y="0"/>
                                <a:ext cx="1496520" cy="0"/>
                              </a:xfrm>
                              <a:prstGeom prst="line">
                                <a:avLst/>
                              </a:prstGeom>
                              <a:ln w="38160">
                                <a:solidFill>
                                  <a:schemeClr val="tx2"/>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3.05pt" to="117.8pt,-3.05pt" ID="Forma2" stroked="t" style="position:absolute;mso-position-vertical:top" wp14:anchorId="05221EEA">
                      <v:stroke color="#082a75" weight="38160" joinstyle="round" endcap="flat"/>
                      <v:fill o:detectmouseclick="t" on="false"/>
                    </v:line>
                  </w:pict>
                </mc:Fallback>
              </mc:AlternateContent>
            </w:r>
          </w:p>
          <w:p>
            <w:pPr>
              <w:pStyle w:val="Normal"/>
              <w:rPr>
                <w:rFonts w:eastAsia="" w:eastAsiaTheme="minorEastAsia"/>
                <w:b/>
                <w:b/>
                <w:color w:val="082A75" w:themeColor="text2"/>
                <w:sz w:val="28"/>
                <w:szCs w:val="22"/>
                <w:lang w:bidi="es-ES"/>
              </w:rPr>
            </w:pPr>
            <w:r>
              <w:rPr>
                <w:rFonts w:eastAsia="" w:eastAsiaTheme="minorEastAsia"/>
                <w:b/>
                <w:color w:val="082A75" w:themeColor="text2"/>
                <w:sz w:val="28"/>
                <w:szCs w:val="22"/>
                <w:lang w:bidi="es-ES"/>
              </w:rPr>
            </w:r>
          </w:p>
          <w:p>
            <w:pPr>
              <w:pStyle w:val="Normal"/>
              <w:rPr>
                <w:rFonts w:eastAsia="" w:eastAsiaTheme="minorEastAsia"/>
                <w:b/>
                <w:b/>
                <w:color w:val="082A75" w:themeColor="text2"/>
                <w:sz w:val="28"/>
                <w:szCs w:val="22"/>
                <w:lang w:bidi="es-ES"/>
              </w:rPr>
            </w:pPr>
            <w:r>
              <w:rPr>
                <w:rFonts w:eastAsia="" w:eastAsiaTheme="minorEastAsia"/>
                <w:b/>
                <w:color w:val="082A75" w:themeColor="text2"/>
                <w:sz w:val="28"/>
                <w:szCs w:val="22"/>
                <w:lang w:bidi="es-ES"/>
              </w:rPr>
              <w:t>GRUPO 8</w:t>
            </w:r>
          </w:p>
          <w:p>
            <w:pPr>
              <w:pStyle w:val="Normal"/>
              <w:rPr>
                <w:sz w:val="21"/>
                <w:szCs w:val="21"/>
              </w:rPr>
            </w:pPr>
            <w:r>
              <w:rPr>
                <w:sz w:val="21"/>
                <w:szCs w:val="21"/>
                <w:lang w:bidi="es-ES"/>
              </w:rPr>
              <w:t>Hugo Coto G. (</w:t>
            </w:r>
            <w:hyperlink r:id="rId2">
              <w:r>
                <w:rPr>
                  <w:rStyle w:val="EnlacedeInternet"/>
                  <w:sz w:val="21"/>
                  <w:szCs w:val="21"/>
                  <w:lang w:bidi="es-ES"/>
                </w:rPr>
                <w:t>h.coto.2018@alumnos.urjc.es</w:t>
              </w:r>
            </w:hyperlink>
            <w:r>
              <w:rPr>
                <w:sz w:val="21"/>
                <w:szCs w:val="21"/>
                <w:lang w:bidi="es-ES"/>
              </w:rPr>
              <w:t>)|</w:t>
            </w:r>
          </w:p>
          <w:p>
            <w:pPr>
              <w:pStyle w:val="Normal"/>
              <w:rPr>
                <w:sz w:val="21"/>
                <w:szCs w:val="21"/>
              </w:rPr>
            </w:pPr>
            <w:r>
              <w:rPr>
                <w:sz w:val="21"/>
                <w:szCs w:val="21"/>
                <w:lang w:bidi="es-ES"/>
              </w:rPr>
              <w:t xml:space="preserve">Alberto García S. | Rodrigo Marqués B. | </w:t>
            </w:r>
          </w:p>
          <w:p>
            <w:pPr>
              <w:pStyle w:val="Normal"/>
              <w:rPr>
                <w:sz w:val="21"/>
                <w:szCs w:val="21"/>
              </w:rPr>
            </w:pPr>
            <w:r>
              <w:rPr>
                <w:sz w:val="21"/>
                <w:szCs w:val="21"/>
                <w:lang w:bidi="es-ES"/>
              </w:rPr>
              <w:t>Enrique Martín S. | Iván Sánchez L.</w:t>
            </w:r>
          </w:p>
          <w:p>
            <w:pPr>
              <w:pStyle w:val="Normal"/>
              <w:rPr>
                <w:sz w:val="10"/>
                <w:szCs w:val="10"/>
              </w:rPr>
            </w:pPr>
            <w:r>
              <w:rPr>
                <w:sz w:val="10"/>
                <w:szCs w:val="10"/>
              </w:rPr>
            </w:r>
          </w:p>
        </w:tc>
        <w:tc>
          <w:tcPr>
            <w:tcW w:w="4464" w:type="dxa"/>
            <w:tcBorders/>
            <w:shd w:color="auto" w:fill="34ABA2" w:themeFill="accent6" w:val="clear"/>
            <w:vAlign w:val="bottom"/>
          </w:tcPr>
          <w:p>
            <w:pPr>
              <w:pStyle w:val="Normal"/>
              <w:jc w:val="right"/>
              <w:rPr/>
            </w:pPr>
            <w:r>
              <w:rPr/>
            </w:r>
          </w:p>
        </w:tc>
      </w:tr>
    </w:tbl>
    <w:p>
      <w:pPr>
        <w:pStyle w:val="Normal"/>
        <w:spacing w:before="0" w:after="200"/>
        <w:rPr/>
      </w:pPr>
      <w:r>
        <w:rPr/>
      </w:r>
      <w:bookmarkStart w:id="0" w:name="_GoBack"/>
      <w:bookmarkStart w:id="1" w:name="_GoBack"/>
      <w:bookmarkEnd w:id="1"/>
    </w:p>
    <w:p>
      <w:pPr>
        <w:pStyle w:val="Ttulo1"/>
        <w:spacing w:before="240" w:after="200"/>
        <w:rPr>
          <w:rFonts w:ascii="Arial" w:hAnsi="Arial" w:eastAsia="" w:cs="" w:asciiTheme="majorHAnsi" w:cstheme="majorBidi" w:eastAsiaTheme="majorEastAsia" w:hAnsiTheme="majorHAnsi"/>
          <w:b/>
          <w:b/>
          <w:color w:val="061F57" w:themeColor="text2" w:themeShade="bf"/>
          <w:kern w:val="2"/>
          <w:sz w:val="52"/>
          <w:szCs w:val="32"/>
          <w:lang w:val="es-ES" w:eastAsia="en-US" w:bidi="es-ES"/>
        </w:rPr>
      </w:pPr>
      <w:r>
        <w:rPr>
          <w:rFonts w:eastAsia="" w:cs="" w:cstheme="majorBidi" w:eastAsiaTheme="majorEastAsia"/>
          <w:b/>
          <w:color w:val="061F57" w:themeColor="text2" w:themeShade="bf"/>
          <w:kern w:val="2"/>
          <w:sz w:val="52"/>
          <w:szCs w:val="32"/>
          <w:lang w:val="es-ES" w:eastAsia="en-US" w:bidi="es-ES"/>
        </w:rPr>
        <w:t>Índice</w:t>
      </w:r>
    </w:p>
    <w:p>
      <w:pPr>
        <w:pStyle w:val="Ttulo3"/>
        <w:numPr>
          <w:ilvl w:val="2"/>
          <w:numId w:val="2"/>
        </w:numPr>
        <w:rPr>
          <w:rFonts w:ascii="Arial" w:hAnsi="Arial" w:eastAsia="" w:cs="" w:asciiTheme="majorHAnsi" w:cstheme="majorBidi" w:eastAsiaTheme="majorEastAsia" w:hAnsiTheme="majorHAnsi"/>
          <w:b/>
          <w:b/>
          <w:bCs/>
          <w:color w:val="061F57" w:themeColor="text2" w:themeShade="bf"/>
          <w:kern w:val="2"/>
          <w:sz w:val="24"/>
          <w:szCs w:val="24"/>
          <w:lang w:val="es-ES" w:eastAsia="en-US" w:bidi="es-ES"/>
        </w:rPr>
      </w:pPr>
      <w:r>
        <w:rPr/>
        <w:t>Índice general</w:t>
      </w:r>
    </w:p>
    <w:tbl>
      <w:tblPr>
        <w:tblW w:w="9563" w:type="dxa"/>
        <w:jc w:val="left"/>
        <w:tblInd w:w="40" w:type="dxa"/>
        <w:tblCellMar>
          <w:top w:w="0" w:type="dxa"/>
          <w:left w:w="0" w:type="dxa"/>
          <w:bottom w:w="0" w:type="dxa"/>
          <w:right w:w="0" w:type="dxa"/>
        </w:tblCellMar>
        <w:tblLook w:val="0000" w:noHBand="0" w:noVBand="0" w:firstColumn="0" w:lastRow="0" w:lastColumn="0" w:firstRow="0"/>
      </w:tblPr>
      <w:tblGrid>
        <w:gridCol w:w="765"/>
        <w:gridCol w:w="8253"/>
        <w:gridCol w:w="545"/>
      </w:tblGrid>
      <w:tr>
        <w:trPr>
          <w:trHeight w:val="3542" w:hRule="exact"/>
        </w:trPr>
        <w:tc>
          <w:tcPr>
            <w:tcW w:w="9563" w:type="dxa"/>
            <w:gridSpan w:val="3"/>
            <w:tcBorders/>
          </w:tcPr>
          <w:p>
            <w:pPr>
              <w:pStyle w:val="Contenido"/>
              <w:rPr>
                <w:rFonts w:ascii="Calibri" w:hAnsi="Calibri" w:eastAsia="" w:cs="" w:eastAsiaTheme="minorEastAsia"/>
                <w:color w:val="082A75" w:themeColor="text2"/>
                <w:kern w:val="0"/>
                <w:lang w:val="es-ES" w:eastAsia="en-US" w:bidi="es-ES"/>
              </w:rPr>
            </w:pPr>
            <w:r>
              <w:rPr>
                <w:rFonts w:eastAsia="" w:cs="" w:eastAsiaTheme="minorEastAsia"/>
                <w:color w:val="082A75" w:themeColor="text2"/>
                <w:kern w:val="0"/>
                <w:lang w:val="es-ES" w:eastAsia="en-US" w:bidi="es-ES"/>
              </w:rPr>
            </w:r>
          </w:p>
          <w:p>
            <w:pPr>
              <w:pStyle w:val="Normal"/>
              <w:rPr/>
            </w:pPr>
            <w:r>
              <w:rPr/>
            </w:r>
          </w:p>
          <w:p>
            <w:pPr>
              <w:pStyle w:val="Contenido"/>
              <w:rPr/>
            </w:pPr>
            <w:r>
              <w:rPr/>
            </w:r>
          </w:p>
        </w:tc>
      </w:tr>
      <w:tr>
        <w:trPr>
          <w:trHeight w:val="1901" w:hRule="exact"/>
        </w:trPr>
        <w:tc>
          <w:tcPr>
            <w:tcW w:w="765" w:type="dxa"/>
            <w:tcBorders/>
            <w:shd w:color="auto" w:fill="F2F2F2" w:themeFill="background1" w:themeFillShade="f2" w:val="clear"/>
            <w:vAlign w:val="center"/>
          </w:tcPr>
          <w:p>
            <w:pPr>
              <w:pStyle w:val="Textodestacado"/>
              <w:jc w:val="center"/>
              <w:rPr/>
            </w:pPr>
            <w:r>
              <w:rPr/>
            </w:r>
          </w:p>
        </w:tc>
        <w:tc>
          <w:tcPr>
            <w:tcW w:w="8253" w:type="dxa"/>
            <w:tcBorders/>
            <w:shd w:color="auto" w:fill="F2F2F2" w:themeFill="background1" w:themeFillShade="f2" w:val="clear"/>
            <w:vAlign w:val="center"/>
          </w:tcPr>
          <w:p>
            <w:pPr>
              <w:pStyle w:val="Normal"/>
              <w:jc w:val="center"/>
              <w:rPr/>
            </w:pPr>
            <w:r>
              <w:rPr>
                <w:i/>
                <w:sz w:val="36"/>
                <w:szCs w:val="36"/>
                <w:lang w:bidi="es-ES"/>
              </w:rPr>
              <w:t>[Aquí va el índice]</w:t>
            </w:r>
          </w:p>
        </w:tc>
        <w:tc>
          <w:tcPr>
            <w:tcW w:w="545" w:type="dxa"/>
            <w:tcBorders/>
            <w:shd w:color="auto" w:fill="F2F2F2" w:themeFill="background1" w:themeFillShade="f2" w:val="clear"/>
            <w:vAlign w:val="center"/>
          </w:tcPr>
          <w:p>
            <w:pPr>
              <w:pStyle w:val="Textodestacado"/>
              <w:jc w:val="center"/>
              <w:rPr/>
            </w:pPr>
            <w:r>
              <w:rPr/>
            </w:r>
          </w:p>
        </w:tc>
      </w:tr>
      <w:tr>
        <w:trPr>
          <w:trHeight w:val="5933" w:hRule="exact"/>
        </w:trPr>
        <w:tc>
          <w:tcPr>
            <w:tcW w:w="9563" w:type="dxa"/>
            <w:gridSpan w:val="3"/>
            <w:tcBorders/>
          </w:tcPr>
          <w:p>
            <w:pPr>
              <w:pStyle w:val="Textodestacado"/>
              <w:rPr>
                <w:i/>
                <w:i/>
                <w:sz w:val="36"/>
              </w:rPr>
            </w:pPr>
            <w:r>
              <w:rPr>
                <w:i/>
                <w:sz w:val="36"/>
              </w:rPr>
            </w:r>
          </w:p>
        </w:tc>
      </w:tr>
    </w:tbl>
    <w:p>
      <w:pPr>
        <w:pStyle w:val="Normal"/>
        <w:rPr/>
      </w:pPr>
      <w:r>
        <w:rPr/>
      </w:r>
    </w:p>
    <w:p>
      <w:pPr>
        <w:pStyle w:val="Normal"/>
        <w:rPr/>
      </w:pPr>
      <w:r>
        <w:rPr/>
      </w:r>
    </w:p>
    <w:p>
      <w:pPr>
        <w:pStyle w:val="Normal"/>
        <w:rPr/>
      </w:pPr>
      <w:r>
        <w:rPr/>
      </w:r>
    </w:p>
    <w:p>
      <w:pPr>
        <w:pStyle w:val="Ttulo2"/>
        <w:rPr>
          <w:color w:val="3465A4"/>
        </w:rPr>
      </w:pPr>
      <w:r>
        <w:rPr>
          <w:color w:val="3465A4"/>
        </w:rPr>
        <w:t>1. Roles</w:t>
      </w:r>
    </w:p>
    <w:p>
      <w:pPr>
        <w:pStyle w:val="Contenido"/>
        <w:rPr/>
      </w:pPr>
      <w:r>
        <mc:AlternateContent>
          <mc:Choice Requires="wps">
            <w:drawing>
              <wp:anchor behindDoc="0" distT="0" distB="0" distL="0" distR="0" simplePos="0" locked="0" layoutInCell="1" allowOverlap="1" relativeHeight="5">
                <wp:simplePos x="0" y="0"/>
                <wp:positionH relativeFrom="column">
                  <wp:posOffset>38735</wp:posOffset>
                </wp:positionH>
                <wp:positionV relativeFrom="paragraph">
                  <wp:posOffset>-118110</wp:posOffset>
                </wp:positionV>
                <wp:extent cx="5974080" cy="30480"/>
                <wp:effectExtent l="0" t="0" r="0" b="0"/>
                <wp:wrapNone/>
                <wp:docPr id="3" name="Forma5"/>
                <a:graphic xmlns:a="http://schemas.openxmlformats.org/drawingml/2006/main">
                  <a:graphicData uri="http://schemas.microsoft.com/office/word/2010/wordprocessingShape">
                    <wps:wsp>
                      <wps:cNvSpPr/>
                      <wps:spPr>
                        <a:xfrm flipV="1">
                          <a:off x="0" y="0"/>
                          <a:ext cx="5973480" cy="28440"/>
                        </a:xfrm>
                        <a:prstGeom prst="line">
                          <a:avLst/>
                        </a:prstGeom>
                        <a:ln w="36360">
                          <a:solidFill>
                            <a:srgbClr val="2a6099"/>
                          </a:solidFill>
                          <a:round/>
                        </a:ln>
                      </wps:spPr>
                      <wps:style>
                        <a:lnRef idx="0"/>
                        <a:fillRef idx="0"/>
                        <a:effectRef idx="0"/>
                        <a:fontRef idx="minor"/>
                      </wps:style>
                      <wps:bodyPr/>
                    </wps:wsp>
                  </a:graphicData>
                </a:graphic>
              </wp:anchor>
            </w:drawing>
          </mc:Choice>
          <mc:Fallback>
            <w:pict>
              <v:line id="shape_0" from="3.05pt,-9.3pt" to="473.35pt,-7.1pt" ID="Forma5" stroked="t" style="position:absolute;flip:y">
                <v:stroke color="#2a6099" weight="36360" joinstyle="round" endcap="flat"/>
                <v:fill o:detectmouseclick="t" on="false"/>
              </v:line>
            </w:pict>
          </mc:Fallback>
        </mc:AlternateContent>
      </w:r>
      <w:r>
        <w:rPr>
          <w:color w:val="000000"/>
          <w:sz w:val="24"/>
          <w:szCs w:val="24"/>
        </w:rPr>
        <w:t>Arquitectos Software Senior (ASS):</w:t>
      </w:r>
    </w:p>
    <w:p>
      <w:pPr>
        <w:pStyle w:val="Contenido"/>
        <w:rPr>
          <w:color w:val="000000"/>
          <w:sz w:val="24"/>
          <w:szCs w:val="24"/>
        </w:rPr>
      </w:pPr>
      <w:r>
        <w:rPr>
          <w:color w:val="000000"/>
          <w:sz w:val="24"/>
          <w:szCs w:val="24"/>
        </w:rPr>
      </w:r>
    </w:p>
    <w:p>
      <w:pPr>
        <w:pStyle w:val="Contenido"/>
        <w:numPr>
          <w:ilvl w:val="0"/>
          <w:numId w:val="3"/>
        </w:numPr>
        <w:rPr>
          <w:color w:val="000000"/>
          <w:sz w:val="24"/>
          <w:szCs w:val="24"/>
        </w:rPr>
      </w:pPr>
      <w:r>
        <w:rPr>
          <w:color w:val="000000"/>
          <w:sz w:val="24"/>
          <w:szCs w:val="24"/>
        </w:rPr>
        <w:t>Rodrigo Marqués Buil</w:t>
      </w:r>
    </w:p>
    <w:p>
      <w:pPr>
        <w:pStyle w:val="Contenido"/>
        <w:numPr>
          <w:ilvl w:val="0"/>
          <w:numId w:val="3"/>
        </w:numPr>
        <w:rPr>
          <w:color w:val="000000"/>
          <w:sz w:val="24"/>
          <w:szCs w:val="24"/>
        </w:rPr>
      </w:pPr>
      <w:r>
        <w:rPr>
          <w:color w:val="000000"/>
          <w:sz w:val="24"/>
          <w:szCs w:val="24"/>
        </w:rPr>
        <w:t>Enrique Martín Santorcaz</w:t>
      </w:r>
    </w:p>
    <w:p>
      <w:pPr>
        <w:pStyle w:val="Contenido"/>
        <w:numPr>
          <w:ilvl w:val="0"/>
          <w:numId w:val="0"/>
        </w:numPr>
        <w:ind w:left="720" w:hanging="0"/>
        <w:rPr>
          <w:color w:val="000000"/>
          <w:sz w:val="24"/>
          <w:szCs w:val="24"/>
        </w:rPr>
      </w:pPr>
      <w:r>
        <w:rPr>
          <w:color w:val="000000"/>
          <w:sz w:val="24"/>
          <w:szCs w:val="24"/>
        </w:rPr>
      </w:r>
    </w:p>
    <w:p>
      <w:pPr>
        <w:pStyle w:val="Contenido"/>
        <w:rPr>
          <w:color w:val="000000"/>
          <w:sz w:val="24"/>
          <w:szCs w:val="24"/>
        </w:rPr>
      </w:pPr>
      <w:r>
        <w:rPr>
          <w:color w:val="000000"/>
          <w:sz w:val="24"/>
          <w:szCs w:val="24"/>
        </w:rPr>
        <w:t>Arquitectos Software Junior (ASJ):</w:t>
      </w:r>
    </w:p>
    <w:p>
      <w:pPr>
        <w:pStyle w:val="Contenido"/>
        <w:rPr>
          <w:color w:val="000000"/>
          <w:sz w:val="24"/>
          <w:szCs w:val="24"/>
        </w:rPr>
      </w:pPr>
      <w:r>
        <w:rPr>
          <w:color w:val="000000"/>
          <w:sz w:val="24"/>
          <w:szCs w:val="24"/>
        </w:rPr>
      </w:r>
    </w:p>
    <w:p>
      <w:pPr>
        <w:pStyle w:val="Contenido"/>
        <w:numPr>
          <w:ilvl w:val="0"/>
          <w:numId w:val="4"/>
        </w:numPr>
        <w:rPr>
          <w:color w:val="000000"/>
          <w:sz w:val="24"/>
          <w:szCs w:val="24"/>
        </w:rPr>
      </w:pPr>
      <w:r>
        <w:rPr>
          <w:color w:val="000000"/>
          <w:sz w:val="24"/>
          <w:szCs w:val="24"/>
        </w:rPr>
        <w:t>Iván Sánchez Labrador</w:t>
      </w:r>
    </w:p>
    <w:p>
      <w:pPr>
        <w:pStyle w:val="Contenido"/>
        <w:numPr>
          <w:ilvl w:val="0"/>
          <w:numId w:val="0"/>
        </w:numPr>
        <w:ind w:left="720" w:hanging="0"/>
        <w:rPr>
          <w:color w:val="000000"/>
          <w:sz w:val="24"/>
          <w:szCs w:val="24"/>
        </w:rPr>
      </w:pPr>
      <w:r>
        <w:rPr>
          <w:color w:val="000000"/>
          <w:sz w:val="24"/>
          <w:szCs w:val="24"/>
        </w:rPr>
      </w:r>
    </w:p>
    <w:p>
      <w:pPr>
        <w:pStyle w:val="Contenido"/>
        <w:rPr>
          <w:color w:val="000000"/>
          <w:sz w:val="24"/>
          <w:szCs w:val="24"/>
        </w:rPr>
      </w:pPr>
      <w:r>
        <w:rPr>
          <w:color w:val="000000"/>
          <w:sz w:val="24"/>
          <w:szCs w:val="24"/>
        </w:rPr>
        <w:t>Arquitectos Software Cognitivos (ASC):</w:t>
      </w:r>
    </w:p>
    <w:p>
      <w:pPr>
        <w:pStyle w:val="Contenido"/>
        <w:rPr>
          <w:color w:val="000000"/>
          <w:sz w:val="24"/>
          <w:szCs w:val="24"/>
        </w:rPr>
      </w:pPr>
      <w:r>
        <w:rPr>
          <w:color w:val="000000"/>
          <w:sz w:val="24"/>
          <w:szCs w:val="24"/>
        </w:rPr>
      </w:r>
    </w:p>
    <w:p>
      <w:pPr>
        <w:pStyle w:val="Contenido"/>
        <w:numPr>
          <w:ilvl w:val="0"/>
          <w:numId w:val="5"/>
        </w:numPr>
        <w:rPr>
          <w:color w:val="000000"/>
          <w:sz w:val="24"/>
          <w:szCs w:val="24"/>
        </w:rPr>
      </w:pPr>
      <w:r>
        <w:rPr>
          <w:color w:val="000000"/>
          <w:sz w:val="24"/>
          <w:szCs w:val="24"/>
        </w:rPr>
        <w:t>Hugo Coto González</w:t>
      </w:r>
    </w:p>
    <w:p>
      <w:pPr>
        <w:pStyle w:val="Contenido"/>
        <w:numPr>
          <w:ilvl w:val="0"/>
          <w:numId w:val="5"/>
        </w:numPr>
        <w:rPr>
          <w:color w:val="000000"/>
          <w:sz w:val="24"/>
          <w:szCs w:val="24"/>
        </w:rPr>
      </w:pPr>
      <w:r>
        <w:rPr>
          <w:color w:val="000000"/>
          <w:sz w:val="24"/>
          <w:szCs w:val="24"/>
        </w:rPr>
        <w:t>Alberto García Sroda</w:t>
      </w:r>
    </w:p>
    <w:p>
      <w:pPr>
        <w:pStyle w:val="Contenido"/>
        <w:numPr>
          <w:ilvl w:val="0"/>
          <w:numId w:val="0"/>
        </w:numPr>
        <w:ind w:left="720" w:hanging="0"/>
        <w:rPr>
          <w:color w:val="000000"/>
          <w:sz w:val="22"/>
          <w:szCs w:val="22"/>
        </w:rPr>
      </w:pPr>
      <w:r>
        <w:rPr>
          <w:color w:val="000000"/>
          <w:sz w:val="22"/>
          <w:szCs w:val="22"/>
        </w:rPr>
      </w:r>
    </w:p>
    <w:p>
      <w:pPr>
        <w:pStyle w:val="Contenido"/>
        <w:rPr>
          <w:color w:val="000000"/>
          <w:sz w:val="22"/>
          <w:szCs w:val="22"/>
        </w:rPr>
      </w:pPr>
      <w:r>
        <w:rPr>
          <w:color w:val="000000"/>
          <w:sz w:val="22"/>
          <w:szCs w:val="22"/>
        </w:rPr>
      </w:r>
    </w:p>
    <w:p>
      <w:pPr>
        <w:pStyle w:val="Ttulo2"/>
        <w:rPr>
          <w:color w:val="3465A4"/>
        </w:rPr>
      </w:pPr>
      <w:r>
        <w:rPr>
          <w:color w:val="3465A4"/>
        </w:rPr>
        <w:t>2. Introducción</w:t>
      </w:r>
    </w:p>
    <w:p>
      <w:pPr>
        <w:pStyle w:val="Contenido"/>
        <w:rPr>
          <w:color w:val="000000"/>
          <w:sz w:val="24"/>
          <w:szCs w:val="24"/>
        </w:rPr>
      </w:pPr>
      <w:r>
        <mc:AlternateContent>
          <mc:Choice Requires="wps">
            <w:drawing>
              <wp:anchor behindDoc="0" distT="0" distB="0" distL="0" distR="0" simplePos="0" locked="0" layoutInCell="1" allowOverlap="1" relativeHeight="6">
                <wp:simplePos x="0" y="0"/>
                <wp:positionH relativeFrom="column">
                  <wp:posOffset>38735</wp:posOffset>
                </wp:positionH>
                <wp:positionV relativeFrom="paragraph">
                  <wp:posOffset>-118110</wp:posOffset>
                </wp:positionV>
                <wp:extent cx="5974080" cy="30480"/>
                <wp:effectExtent l="0" t="0" r="0" b="0"/>
                <wp:wrapNone/>
                <wp:docPr id="4" name="Forma5_0"/>
                <a:graphic xmlns:a="http://schemas.openxmlformats.org/drawingml/2006/main">
                  <a:graphicData uri="http://schemas.microsoft.com/office/word/2010/wordprocessingShape">
                    <wps:wsp>
                      <wps:cNvSpPr/>
                      <wps:spPr>
                        <a:xfrm flipV="1">
                          <a:off x="0" y="0"/>
                          <a:ext cx="5973480" cy="28440"/>
                        </a:xfrm>
                        <a:prstGeom prst="line">
                          <a:avLst/>
                        </a:prstGeom>
                        <a:ln w="36360">
                          <a:solidFill>
                            <a:srgbClr val="2a6099"/>
                          </a:solidFill>
                          <a:round/>
                        </a:ln>
                      </wps:spPr>
                      <wps:style>
                        <a:lnRef idx="0"/>
                        <a:fillRef idx="0"/>
                        <a:effectRef idx="0"/>
                        <a:fontRef idx="minor"/>
                      </wps:style>
                      <wps:bodyPr/>
                    </wps:wsp>
                  </a:graphicData>
                </a:graphic>
              </wp:anchor>
            </w:drawing>
          </mc:Choice>
          <mc:Fallback>
            <w:pict>
              <v:line id="shape_0" from="3.05pt,-9.3pt" to="473.35pt,-7.1pt" ID="Forma5_0" stroked="t" style="position:absolute;flip:y">
                <v:stroke color="#2a6099" weight="36360" joinstyle="round" endcap="flat"/>
                <v:fill o:detectmouseclick="t" on="false"/>
              </v:line>
            </w:pict>
          </mc:Fallback>
        </mc:AlternateContent>
      </w:r>
      <w:r>
        <w:rPr>
          <w:color w:val="000000"/>
          <w:sz w:val="24"/>
          <w:szCs w:val="24"/>
        </w:rPr>
        <w:t>El objetivo de esta práctica es realizar el diseño de una tienda virtual basada en una arquitectura Web de tres capas y se desea migrar a una arquitectura de microservicios.</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Semana a semana desarrollaremos los objetivos propuestos buscando un desarrollo incremental en nuestro trabajo, que nos de pie a poner en práctica de manera ordenada los puntos que se expondrán a continuación.</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Se pondrán en práctica las nociones de diseño aprendidas durante el desarrollo de la asignatura, que darán como resultado un diseño capaz de dar respuesta a todos los requisitos funcionales capturados de las peticiones y descripción del cliente de lo que espera que sea el producto a recibir.</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Será en estos términos que tomaremos las decisiones de diseño en cuánto a patrones y arquitecturas que consideremos apropiadas dado el ámbito y las condiciones del proyecto. Dichas decisiones serán recogidas y documentadas en el debido formato de cara a una mejor legibilidad y estructuración de las mismas.</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Cada decisión tomada tendrá su reflejo en el correspondiente diagrama que conformará el marco general de nuestro diseño, y de este modo, a través de la interrelación entre las arquitecturas y los patrones seleccionamos  obtendremos una visión clara de nuestra solución.</w:t>
      </w:r>
    </w:p>
    <w:p>
      <w:pPr>
        <w:pStyle w:val="Contenido"/>
        <w:rPr>
          <w:color w:val="000000"/>
          <w:sz w:val="24"/>
          <w:szCs w:val="24"/>
        </w:rPr>
      </w:pPr>
      <w:r>
        <w:rPr>
          <w:color w:val="000000"/>
          <w:sz w:val="24"/>
          <w:szCs w:val="24"/>
        </w:rPr>
      </w:r>
    </w:p>
    <w:p>
      <w:pPr>
        <w:pStyle w:val="Ttulo2"/>
        <w:rPr/>
      </w:pPr>
      <w:r>
        <w:rPr/>
        <w:t>3. Resultado Iteraciones</w:t>
      </w:r>
    </w:p>
    <w:p>
      <w:pPr>
        <w:pStyle w:val="Ttulo3"/>
        <w:numPr>
          <w:ilvl w:val="2"/>
          <w:numId w:val="2"/>
        </w:numPr>
        <w:rPr>
          <w:color w:val="000000"/>
          <w:sz w:val="30"/>
          <w:szCs w:val="30"/>
        </w:rPr>
      </w:pPr>
      <w:r>
        <mc:AlternateContent>
          <mc:Choice Requires="wps">
            <w:drawing>
              <wp:anchor behindDoc="0" distT="0" distB="0" distL="0" distR="0" simplePos="0" locked="0" layoutInCell="1" allowOverlap="1" relativeHeight="7">
                <wp:simplePos x="0" y="0"/>
                <wp:positionH relativeFrom="column">
                  <wp:posOffset>38735</wp:posOffset>
                </wp:positionH>
                <wp:positionV relativeFrom="paragraph">
                  <wp:posOffset>-118110</wp:posOffset>
                </wp:positionV>
                <wp:extent cx="5974080" cy="30480"/>
                <wp:effectExtent l="0" t="0" r="0" b="0"/>
                <wp:wrapNone/>
                <wp:docPr id="5" name="Forma5_1"/>
                <a:graphic xmlns:a="http://schemas.openxmlformats.org/drawingml/2006/main">
                  <a:graphicData uri="http://schemas.microsoft.com/office/word/2010/wordprocessingShape">
                    <wps:wsp>
                      <wps:cNvSpPr/>
                      <wps:spPr>
                        <a:xfrm flipV="1">
                          <a:off x="0" y="0"/>
                          <a:ext cx="5973480" cy="28440"/>
                        </a:xfrm>
                        <a:prstGeom prst="line">
                          <a:avLst/>
                        </a:prstGeom>
                        <a:ln w="36360">
                          <a:solidFill>
                            <a:srgbClr val="2a6099"/>
                          </a:solidFill>
                          <a:round/>
                        </a:ln>
                      </wps:spPr>
                      <wps:style>
                        <a:lnRef idx="0"/>
                        <a:fillRef idx="0"/>
                        <a:effectRef idx="0"/>
                        <a:fontRef idx="minor"/>
                      </wps:style>
                      <wps:bodyPr/>
                    </wps:wsp>
                  </a:graphicData>
                </a:graphic>
              </wp:anchor>
            </w:drawing>
          </mc:Choice>
          <mc:Fallback>
            <w:pict>
              <v:line id="shape_0" from="3.05pt,-9.3pt" to="473.35pt,-7.1pt" ID="Forma5_1" stroked="t" style="position:absolute;flip:y">
                <v:stroke color="#2a6099" weight="36360" joinstyle="round" endcap="flat"/>
                <v:fill o:detectmouseclick="t" on="false"/>
              </v:line>
            </w:pict>
          </mc:Fallback>
        </mc:AlternateContent>
      </w:r>
      <w:r>
        <w:rPr>
          <w:color w:val="000000"/>
          <w:sz w:val="30"/>
          <w:szCs w:val="30"/>
        </w:rPr>
        <w:t>Tarea 1: Semana 1</w:t>
      </w:r>
    </w:p>
    <w:p>
      <w:pPr>
        <w:pStyle w:val="Contenido"/>
        <w:rPr>
          <w:color w:val="000000"/>
          <w:sz w:val="24"/>
          <w:szCs w:val="24"/>
        </w:rPr>
      </w:pPr>
      <w:r>
        <w:rPr>
          <w:color w:val="000000"/>
          <w:sz w:val="24"/>
          <w:szCs w:val="24"/>
        </w:rPr>
        <w:t>A continuación, se dispone la tabla con los requisitos funcionales que han sido extraídos del enunciado de la práctica en la Tarea 1: Semana 1:</w:t>
      </w:r>
    </w:p>
    <w:p>
      <w:pPr>
        <w:pStyle w:val="Contenido"/>
        <w:rPr>
          <w:color w:val="000000"/>
          <w:sz w:val="24"/>
          <w:szCs w:val="24"/>
        </w:rPr>
      </w:pPr>
      <w:r>
        <w:rPr>
          <w:color w:val="000000"/>
          <w:sz w:val="24"/>
          <w:szCs w:val="24"/>
        </w:rPr>
      </w:r>
    </w:p>
    <w:tbl>
      <w:tblPr>
        <w:tblW w:w="9602" w:type="dxa"/>
        <w:jc w:val="left"/>
        <w:tblInd w:w="28" w:type="dxa"/>
        <w:tblCellMar>
          <w:top w:w="28" w:type="dxa"/>
          <w:left w:w="28" w:type="dxa"/>
          <w:bottom w:w="28" w:type="dxa"/>
          <w:right w:w="28" w:type="dxa"/>
        </w:tblCellMar>
      </w:tblPr>
      <w:tblGrid>
        <w:gridCol w:w="1018"/>
        <w:gridCol w:w="3570"/>
        <w:gridCol w:w="5014"/>
      </w:tblGrid>
      <w:tr>
        <w:trPr>
          <w:trHeight w:val="374" w:hRule="atLeast"/>
        </w:trPr>
        <w:tc>
          <w:tcPr>
            <w:tcW w:w="1018" w:type="dxa"/>
            <w:tcBorders>
              <w:top w:val="single" w:sz="2" w:space="0" w:color="000000"/>
              <w:left w:val="single" w:sz="2" w:space="0" w:color="000000"/>
              <w:bottom w:val="single" w:sz="2" w:space="0" w:color="000000"/>
            </w:tcBorders>
            <w:shd w:fill="B4C7DC" w:val="clear"/>
            <w:vAlign w:val="center"/>
          </w:tcPr>
          <w:p>
            <w:pPr>
              <w:pStyle w:val="Contenidodelatabla"/>
              <w:spacing w:lineRule="auto" w:line="240" w:before="57" w:after="57"/>
              <w:jc w:val="center"/>
              <w:rPr>
                <w:color w:val="000000"/>
                <w:sz w:val="26"/>
                <w:szCs w:val="26"/>
              </w:rPr>
            </w:pPr>
            <w:r>
              <w:rPr>
                <w:color w:val="000000"/>
                <w:sz w:val="26"/>
                <w:szCs w:val="26"/>
              </w:rPr>
              <w:t>ID</w:t>
            </w:r>
          </w:p>
        </w:tc>
        <w:tc>
          <w:tcPr>
            <w:tcW w:w="3570" w:type="dxa"/>
            <w:tcBorders>
              <w:top w:val="single" w:sz="2" w:space="0" w:color="000000"/>
              <w:left w:val="single" w:sz="2" w:space="0" w:color="000000"/>
              <w:bottom w:val="single" w:sz="2" w:space="0" w:color="000000"/>
            </w:tcBorders>
            <w:shd w:fill="B4C7DC" w:val="clear"/>
            <w:vAlign w:val="center"/>
          </w:tcPr>
          <w:p>
            <w:pPr>
              <w:pStyle w:val="Contenidodelatabla"/>
              <w:spacing w:lineRule="auto" w:line="240" w:before="57" w:after="57"/>
              <w:jc w:val="center"/>
              <w:rPr>
                <w:color w:val="000000"/>
                <w:sz w:val="26"/>
                <w:szCs w:val="26"/>
              </w:rPr>
            </w:pPr>
            <w:r>
              <w:rPr>
                <w:color w:val="000000"/>
                <w:sz w:val="26"/>
                <w:szCs w:val="26"/>
              </w:rPr>
              <w:t>Nombre</w:t>
            </w:r>
          </w:p>
        </w:tc>
        <w:tc>
          <w:tcPr>
            <w:tcW w:w="5014" w:type="dxa"/>
            <w:tcBorders>
              <w:top w:val="single" w:sz="2" w:space="0" w:color="000000"/>
              <w:left w:val="single" w:sz="2" w:space="0" w:color="000000"/>
              <w:bottom w:val="single" w:sz="2" w:space="0" w:color="000000"/>
              <w:right w:val="single" w:sz="2" w:space="0" w:color="000000"/>
            </w:tcBorders>
            <w:shd w:fill="B4C7DC" w:val="clear"/>
            <w:vAlign w:val="center"/>
          </w:tcPr>
          <w:p>
            <w:pPr>
              <w:pStyle w:val="Contenidodelatabla"/>
              <w:spacing w:lineRule="auto" w:line="240" w:before="57" w:after="57"/>
              <w:jc w:val="center"/>
              <w:rPr>
                <w:color w:val="000000"/>
                <w:sz w:val="26"/>
                <w:szCs w:val="26"/>
              </w:rPr>
            </w:pPr>
            <w:r>
              <w:rPr>
                <w:color w:val="000000"/>
                <w:sz w:val="26"/>
                <w:szCs w:val="26"/>
              </w:rPr>
              <w:t>Descripción</w:t>
            </w:r>
          </w:p>
        </w:tc>
      </w:tr>
      <w:tr>
        <w:trPr>
          <w:trHeight w:val="374" w:hRule="atLeast"/>
        </w:trPr>
        <w:tc>
          <w:tcPr>
            <w:tcW w:w="1018"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w:t>
            </w:r>
          </w:p>
        </w:tc>
        <w:tc>
          <w:tcPr>
            <w:tcW w:w="3570"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Elección de arquitectura</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la elección de la arquitectura a tomar para el cliente.</w:t>
            </w:r>
          </w:p>
        </w:tc>
      </w:tr>
      <w:tr>
        <w:trPr>
          <w:trHeight w:val="374" w:hRule="atLeast"/>
        </w:trPr>
        <w:tc>
          <w:tcPr>
            <w:tcW w:w="1018"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RF1.1</w:t>
            </w:r>
          </w:p>
        </w:tc>
        <w:tc>
          <w:tcPr>
            <w:tcW w:w="3570"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Arquitectura de microservicios</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toma la Arquitectura basada en Microservicios como elección en el proyecto.</w:t>
            </w:r>
          </w:p>
        </w:tc>
      </w:tr>
      <w:tr>
        <w:trPr>
          <w:trHeight w:val="374" w:hRule="atLeast"/>
        </w:trPr>
        <w:tc>
          <w:tcPr>
            <w:tcW w:w="1018"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RF1.2</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Migración de la antigua arquitectura a la nueva</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migrará todos los módulos de la aplicación para que estén basados en una arquitectura por microservicios.</w:t>
            </w:r>
          </w:p>
        </w:tc>
      </w:tr>
      <w:tr>
        <w:trPr>
          <w:trHeight w:val="374" w:hRule="atLeast"/>
        </w:trPr>
        <w:tc>
          <w:tcPr>
            <w:tcW w:w="1018"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RF1.3</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Mejorar la flexibilidad y escalabilidad</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Realizar una optimización en la bases de datos y realizar buenas praxis en la utilización de la arquitectura.</w:t>
            </w:r>
          </w:p>
        </w:tc>
      </w:tr>
      <w:tr>
        <w:trPr>
          <w:trHeight w:val="374" w:hRule="atLeast"/>
        </w:trPr>
        <w:tc>
          <w:tcPr>
            <w:tcW w:w="1018"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RF2</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Componentes de presentación</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Responsables de la parte cliente.</w:t>
            </w:r>
          </w:p>
        </w:tc>
      </w:tr>
      <w:tr>
        <w:trPr>
          <w:trHeight w:val="374" w:hRule="atLeast"/>
        </w:trPr>
        <w:tc>
          <w:tcPr>
            <w:tcW w:w="1018"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RF2.1</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Control de interfaz de usuario</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como se controla la interfaz de usuario.</w:t>
            </w:r>
          </w:p>
        </w:tc>
      </w:tr>
      <w:tr>
        <w:trPr>
          <w:trHeight w:val="374" w:hRule="atLeast"/>
        </w:trPr>
        <w:tc>
          <w:tcPr>
            <w:tcW w:w="1018"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RF2.2</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Consumo de servicios remotos</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como controlar el consumo de servicios remotos.</w:t>
            </w:r>
          </w:p>
        </w:tc>
      </w:tr>
      <w:tr>
        <w:trPr>
          <w:trHeight w:val="374" w:hRule="atLeast"/>
        </w:trPr>
        <w:tc>
          <w:tcPr>
            <w:tcW w:w="1018"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RF3</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Componentes lógica de negocio</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Responsable de la funcionalidad de la aplicación.</w:t>
            </w:r>
          </w:p>
        </w:tc>
      </w:tr>
      <w:tr>
        <w:trPr>
          <w:trHeight w:val="374" w:hRule="atLeast"/>
        </w:trPr>
        <w:tc>
          <w:tcPr>
            <w:tcW w:w="1018"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RF3.1</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Módulo de pedidos y compras</w:t>
            </w:r>
          </w:p>
        </w:tc>
        <w:tc>
          <w:tcPr>
            <w:tcW w:w="5014"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cómo realizar las compras y pedidos para usuario.</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RF3.2</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detección de preferencias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la información necesaria y trata correcta de la información de preferencias.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RF3.3</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conexión a sistemas de pago</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de que forma se realizarán los pagos y con que medios.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RF3.4</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mensajería a dispositivos móviles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la forma de la mensajería a dispositivos móviles.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RF3.5</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seguridad en compras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la seguridad en la que se basa la arquitectura.</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RF3.6</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devoluciones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como se realizaran las devoluciones para clientes.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RF4</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Lógica de acceso a bases de datos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Son los componentes responsables para obtener acceso a las BBDD.</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RF5</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Sistema de mensajería por middelware independiente</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Implementación de middleware único para mensajería.</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RF6</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Integración asíncrona de los microservicios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implementará para soportar un mayor numero de compras y preferencias.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RF7</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 xml:space="preserve">Creación nueva base datos </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creará para almacenar la localización de los microservicios.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RF8</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Integración bus eventos lógicos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Para una correcta coherencia de los datos entre las distintas BBDD.</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RF9</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Determinar número de contenedores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Limitación de intentos de compra a 5 intentos.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RF10</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Conexión y microservicios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Definición de tipo de conexión a la aplicación y entre microservicios.</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RF10.1</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 xml:space="preserve">Definir vía de conexión </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Conexión a la aplicación.</w:t>
            </w:r>
          </w:p>
        </w:tc>
      </w:tr>
      <w:tr>
        <w:trPr>
          <w:trHeight w:val="374" w:hRule="atLeast"/>
        </w:trPr>
        <w:tc>
          <w:tcPr>
            <w:tcW w:w="1018"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RF10.2</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Definir comunicación y monitorización de los microservicios</w:t>
            </w:r>
          </w:p>
        </w:tc>
        <w:tc>
          <w:tcPr>
            <w:tcW w:w="5014"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Conexión y monitorización de los microservicios.</w:t>
            </w:r>
          </w:p>
        </w:tc>
      </w:tr>
    </w:tbl>
    <w:p>
      <w:pPr>
        <w:pStyle w:val="Contenido"/>
        <w:rPr>
          <w:i/>
          <w:i/>
          <w:iCs/>
          <w:color w:val="000000"/>
          <w:sz w:val="20"/>
          <w:szCs w:val="20"/>
        </w:rPr>
      </w:pPr>
      <w:r>
        <w:rPr>
          <w:i/>
          <w:iCs/>
          <w:color w:val="000000"/>
          <w:sz w:val="20"/>
          <w:szCs w:val="20"/>
        </w:rPr>
        <w:t>(Tabla de requisitos)</w:t>
      </w:r>
    </w:p>
    <w:p>
      <w:pPr>
        <w:pStyle w:val="Contenido"/>
        <w:rPr>
          <w:color w:val="000000"/>
          <w:sz w:val="24"/>
          <w:szCs w:val="24"/>
        </w:rPr>
      </w:pPr>
      <w:r>
        <w:rPr>
          <w:color w:val="000000"/>
          <w:sz w:val="24"/>
          <w:szCs w:val="24"/>
        </w:rPr>
      </w:r>
    </w:p>
    <w:p>
      <w:pPr>
        <w:pStyle w:val="Contenido"/>
        <w:rPr>
          <w:rFonts w:ascii="Liberation Sans" w:hAnsi="Liberation Sans" w:eastAsia="Noto Sans CJK SC" w:cs="Lohit Devanagari"/>
          <w:b/>
          <w:b/>
          <w:bCs/>
          <w:color w:val="000000"/>
          <w:kern w:val="0"/>
          <w:sz w:val="30"/>
          <w:szCs w:val="30"/>
          <w:lang w:val="es-ES" w:eastAsia="en-US" w:bidi="ar-SA"/>
        </w:rPr>
      </w:pPr>
      <w:r>
        <w:rPr>
          <w:rFonts w:eastAsia="Noto Sans CJK SC" w:cs="Lohit Devanagari" w:ascii="Liberation Sans" w:hAnsi="Liberation Sans"/>
          <w:b/>
          <w:bCs/>
          <w:color w:val="000000"/>
          <w:kern w:val="0"/>
          <w:sz w:val="30"/>
          <w:szCs w:val="30"/>
          <w:lang w:val="es-ES" w:eastAsia="en-US" w:bidi="ar-SA"/>
        </w:rPr>
        <w:t>Tarea 2: Semana 2</w:t>
      </w:r>
    </w:p>
    <w:p>
      <w:pPr>
        <w:pStyle w:val="Contenido"/>
        <w:rPr>
          <w:rFonts w:ascii="Calibri" w:hAnsi="Calibri" w:eastAsia="Noto Sans CJK SC" w:cs="Lohit Devanagari"/>
          <w:b/>
          <w:b/>
          <w:bCs/>
          <w:color w:val="000000"/>
          <w:kern w:val="0"/>
          <w:sz w:val="24"/>
          <w:szCs w:val="24"/>
          <w:lang w:val="es-ES" w:eastAsia="en-US" w:bidi="ar-SA"/>
        </w:rPr>
      </w:pPr>
      <w:r>
        <w:rPr>
          <w:rFonts w:eastAsia="Noto Sans CJK SC" w:cs="Lohit Devanagari"/>
          <w:b/>
          <w:bCs/>
          <w:color w:val="000000"/>
          <w:kern w:val="0"/>
          <w:sz w:val="24"/>
          <w:szCs w:val="24"/>
          <w:lang w:val="es-ES" w:eastAsia="en-US" w:bidi="ar-SA"/>
        </w:rPr>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t>En esta segunda semana, empezamos a tomar las decisiones de diseño en función a los requisitos funcionales que habíamos extraído la semana anterior. Primeramente, comenzamos por decidir qué tipo de arquitectura iba a ser la principal.</w:t>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t>La arquitectura principal de este producto, es una arquitectura de microservicios, ya que es la demanda que el cliente ha solicitado expresamente para mejorar la flexibilidady escalabilidad del sistema que se quiere migrar desde una arquitectura Web de tres capas.</w:t>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r>
    </w:p>
    <w:tbl>
      <w:tblPr>
        <w:tblW w:w="9602" w:type="dxa"/>
        <w:jc w:val="left"/>
        <w:tblInd w:w="0" w:type="dxa"/>
        <w:tblCellMar>
          <w:top w:w="0" w:type="dxa"/>
          <w:left w:w="0" w:type="dxa"/>
          <w:bottom w:w="0" w:type="dxa"/>
          <w:right w:w="0" w:type="dxa"/>
        </w:tblCellMar>
      </w:tblPr>
      <w:tblGrid>
        <w:gridCol w:w="3570"/>
        <w:gridCol w:w="6031"/>
      </w:tblGrid>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Título de la decisión</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Arquitectura de microservicios</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ID</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ADD-001</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Fecha</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30-10-2021 (últim</w:t>
            </w:r>
            <w:r>
              <w:rPr>
                <w:b w:val="false"/>
                <w:bCs w:val="false"/>
                <w:color w:val="000000"/>
                <w:sz w:val="22"/>
                <w:szCs w:val="22"/>
              </w:rPr>
              <w:t>o update</w:t>
            </w:r>
            <w:r>
              <w:rPr>
                <w:b w:val="false"/>
                <w:bCs w:val="false"/>
                <w:color w:val="000000"/>
                <w:sz w:val="22"/>
                <w:szCs w:val="22"/>
              </w:rPr>
              <w:t>)</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Creadores</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Enrique Martín S. &amp; Rodrigo Marqués Buil</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Estado</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Aceptada</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Requisitos (directrices de decisión)</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RF1: “Elección de arquitectura”</w:t>
            </w:r>
          </w:p>
          <w:p>
            <w:pPr>
              <w:pStyle w:val="Contenidodelatabla"/>
              <w:jc w:val="center"/>
              <w:rPr>
                <w:b w:val="false"/>
                <w:b w:val="false"/>
                <w:bCs w:val="false"/>
                <w:color w:val="000000"/>
                <w:sz w:val="22"/>
                <w:szCs w:val="22"/>
              </w:rPr>
            </w:pPr>
            <w:r>
              <w:rPr>
                <w:b w:val="false"/>
                <w:bCs w:val="false"/>
                <w:color w:val="000000"/>
                <w:sz w:val="22"/>
                <w:szCs w:val="22"/>
              </w:rPr>
              <w:t>RF1.1: “Arquitectura de microservicios”</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Decisiones alternativas (opciones)</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O</w:t>
            </w:r>
            <w:r>
              <w:rPr>
                <w:b w:val="false"/>
                <w:bCs w:val="false"/>
                <w:color w:val="000000"/>
                <w:sz w:val="22"/>
                <w:szCs w:val="22"/>
              </w:rPr>
              <w:t>pción 1(única): Arquitectura de microservicios</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Decisión tomada (opción seleccionada)</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Opción 1(única): Arquitectura de microservicios</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Consecuencias positivas</w:t>
            </w:r>
          </w:p>
        </w:tc>
        <w:tc>
          <w:tcPr>
            <w:tcW w:w="6031" w:type="dxa"/>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Opción 1:</w:t>
            </w:r>
          </w:p>
          <w:p>
            <w:pPr>
              <w:pStyle w:val="Contenidodelatabla"/>
              <w:numPr>
                <w:ilvl w:val="1"/>
                <w:numId w:val="6"/>
              </w:numPr>
              <w:jc w:val="left"/>
              <w:rPr>
                <w:b/>
                <w:b/>
                <w:bCs/>
                <w:i w:val="false"/>
                <w:i w:val="false"/>
                <w:iCs w:val="false"/>
                <w:color w:val="000000"/>
                <w:sz w:val="22"/>
                <w:szCs w:val="22"/>
                <w:u w:val="single"/>
              </w:rPr>
            </w:pPr>
            <w:r>
              <w:rPr>
                <w:b/>
                <w:bCs/>
                <w:i w:val="false"/>
                <w:iCs w:val="false"/>
                <w:color w:val="000000"/>
                <w:sz w:val="22"/>
                <w:szCs w:val="22"/>
                <w:u w:val="single"/>
              </w:rPr>
              <w:t>Es el que ha solicitado el cliente</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Mejoras en la flexibilidad</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Mejoras en la escalabilidad</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Menos problemas para el cliente</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Código y mantenimiento más legible</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Facilidad a la hora de aplicar una implementación continua</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Consecuencias negativas</w:t>
            </w:r>
          </w:p>
        </w:tc>
        <w:tc>
          <w:tcPr>
            <w:tcW w:w="6031" w:type="dxa"/>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Opción 1:</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Posible dificultad a la hora de migrar el sistema</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Tener verificado en la base de datos todos los microservicios del sistema para un mayor control</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Documentación</w:t>
            </w:r>
          </w:p>
        </w:tc>
        <w:tc>
          <w:tcPr>
            <w:tcW w:w="6031"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https://docs.microsoft.com/es-es/azure/architecture/guide/architecture-styles/microservices</w:t>
            </w:r>
          </w:p>
        </w:tc>
      </w:tr>
    </w:tbl>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Fonts w:eastAsia="Noto Sans CJK SC" w:cs="Lohit Devanagari"/>
          <w:b w:val="false"/>
          <w:bCs w:val="false"/>
          <w:i/>
          <w:iCs/>
          <w:color w:val="000000"/>
          <w:kern w:val="0"/>
          <w:sz w:val="20"/>
          <w:szCs w:val="20"/>
          <w:lang w:val="es-ES" w:eastAsia="en-US" w:bidi="ar-SA"/>
        </w:rPr>
        <w:t>(Tabla ADR-001)</w:t>
      </w:r>
    </w:p>
    <w:p>
      <w:pPr>
        <w:pStyle w:val="Contenido"/>
        <w:rPr>
          <w:rFonts w:ascii="Liberation Sans" w:hAnsi="Liberation Sans" w:eastAsia="Noto Sans CJK SC" w:cs="Lohit Devanagari"/>
          <w:b/>
          <w:b/>
          <w:bCs/>
          <w:color w:val="000000"/>
          <w:kern w:val="0"/>
          <w:sz w:val="30"/>
          <w:szCs w:val="30"/>
          <w:lang w:val="es-ES" w:eastAsia="en-US" w:bidi="ar-SA"/>
        </w:rPr>
      </w:pPr>
      <w:r>
        <w:rPr/>
      </w:r>
    </w:p>
    <w:p>
      <w:pPr>
        <w:pStyle w:val="Contenido"/>
        <w:rPr>
          <w:rFonts w:ascii="Liberation Sans" w:hAnsi="Liberation Sans" w:eastAsia="Noto Sans CJK SC" w:cs="Lohit Devanagari"/>
          <w:b/>
          <w:b/>
          <w:bCs/>
          <w:color w:val="000000"/>
          <w:kern w:val="0"/>
          <w:sz w:val="30"/>
          <w:szCs w:val="30"/>
          <w:lang w:val="es-ES" w:eastAsia="en-US" w:bidi="ar-SA"/>
        </w:rPr>
      </w:pPr>
      <w:r>
        <w:rPr/>
      </w:r>
    </w:p>
    <w:tbl>
      <w:tblPr>
        <w:tblW w:w="9602" w:type="dxa"/>
        <w:jc w:val="left"/>
        <w:tblInd w:w="0" w:type="dxa"/>
        <w:tblCellMar>
          <w:top w:w="0" w:type="dxa"/>
          <w:left w:w="0" w:type="dxa"/>
          <w:bottom w:w="0" w:type="dxa"/>
          <w:right w:w="0" w:type="dxa"/>
        </w:tblCellMar>
      </w:tblPr>
      <w:tblGrid>
        <w:gridCol w:w="3570"/>
        <w:gridCol w:w="6032"/>
      </w:tblGrid>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Título de la decisión</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Migración  a nueva arquitectura</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ID</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ADD-001</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Fecha</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 xml:space="preserve">30-10-2021  </w:t>
            </w:r>
            <w:r>
              <w:rPr>
                <w:b w:val="false"/>
                <w:bCs w:val="false"/>
                <w:color w:val="000000"/>
                <w:sz w:val="22"/>
                <w:szCs w:val="22"/>
              </w:rPr>
              <w:t>| 14-11-2021(revisión)</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Creadores</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Enrique Martín S. &amp; Rodrigo Marqués Buil</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Estado</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Suspendida</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Requisitos (directrices de decisión)</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RF1.</w:t>
            </w:r>
            <w:r>
              <w:rPr>
                <w:b w:val="false"/>
                <w:bCs w:val="false"/>
                <w:color w:val="000000"/>
                <w:sz w:val="22"/>
                <w:szCs w:val="22"/>
              </w:rPr>
              <w:t>2</w:t>
            </w:r>
            <w:r>
              <w:rPr>
                <w:b w:val="false"/>
                <w:bCs w:val="false"/>
                <w:color w:val="000000"/>
                <w:sz w:val="22"/>
                <w:szCs w:val="22"/>
              </w:rPr>
              <w:t>: “</w:t>
            </w:r>
            <w:r>
              <w:rPr>
                <w:b w:val="false"/>
                <w:bCs w:val="false"/>
                <w:color w:val="000000"/>
                <w:sz w:val="22"/>
                <w:szCs w:val="22"/>
              </w:rPr>
              <w:t>Migración de la nueva arquitectura</w:t>
            </w:r>
            <w:r>
              <w:rPr>
                <w:b w:val="false"/>
                <w:bCs w:val="false"/>
                <w:color w:val="000000"/>
                <w:sz w:val="22"/>
                <w:szCs w:val="22"/>
              </w:rPr>
              <w:t>”</w:t>
            </w:r>
          </w:p>
          <w:p>
            <w:pPr>
              <w:pStyle w:val="Contenidodelatabla"/>
              <w:jc w:val="center"/>
              <w:rPr>
                <w:b w:val="false"/>
                <w:b w:val="false"/>
                <w:bCs w:val="false"/>
                <w:color w:val="000000"/>
                <w:sz w:val="22"/>
                <w:szCs w:val="22"/>
              </w:rPr>
            </w:pPr>
            <w:r>
              <w:rPr>
                <w:b w:val="false"/>
                <w:bCs w:val="false"/>
                <w:color w:val="000000"/>
                <w:sz w:val="22"/>
                <w:szCs w:val="22"/>
              </w:rPr>
              <w:t>RF1.</w:t>
            </w:r>
            <w:r>
              <w:rPr>
                <w:b w:val="false"/>
                <w:bCs w:val="false"/>
                <w:color w:val="000000"/>
                <w:sz w:val="22"/>
                <w:szCs w:val="22"/>
              </w:rPr>
              <w:t>3</w:t>
            </w:r>
            <w:r>
              <w:rPr>
                <w:b w:val="false"/>
                <w:bCs w:val="false"/>
                <w:color w:val="000000"/>
                <w:sz w:val="22"/>
                <w:szCs w:val="22"/>
              </w:rPr>
              <w:t>: “</w:t>
            </w:r>
            <w:r>
              <w:rPr>
                <w:b w:val="false"/>
                <w:bCs w:val="false"/>
                <w:color w:val="000000"/>
                <w:sz w:val="22"/>
                <w:szCs w:val="22"/>
              </w:rPr>
              <w:t>Mejora de flexibilidad y escalabilidad</w:t>
            </w:r>
            <w:r>
              <w:rPr>
                <w:b w:val="false"/>
                <w:bCs w:val="false"/>
                <w:color w:val="000000"/>
                <w:sz w:val="22"/>
                <w:szCs w:val="22"/>
              </w:rPr>
              <w:t>”</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Decisiones alternativas (opciones)</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Decisión tomada (opción seleccionada)</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Consecuencias positivas</w:t>
            </w:r>
          </w:p>
        </w:tc>
        <w:tc>
          <w:tcPr>
            <w:tcW w:w="6032" w:type="dxa"/>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Seguridad en implementación de escalabilidad</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Seguridad en implementación de flexibilidad</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Revisión continua de estas características</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Nivel detallado de estas características</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Consecuencias negativas</w:t>
            </w:r>
          </w:p>
        </w:tc>
        <w:tc>
          <w:tcPr>
            <w:tcW w:w="6032" w:type="dxa"/>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No se vislumbra una escalabilidad palpable desde el comienzo del desarrollo de la migración</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Posible pérdida del contacto con estos requisitos durante el desarrollo de la migración</w:t>
            </w:r>
          </w:p>
        </w:tc>
      </w:tr>
      <w:tr>
        <w:trPr/>
        <w:tc>
          <w:tcPr>
            <w:tcW w:w="3570" w:type="dxa"/>
            <w:tcBorders/>
            <w:vAlign w:val="center"/>
          </w:tcPr>
          <w:p>
            <w:pPr>
              <w:pStyle w:val="Contenidodelatabla"/>
              <w:jc w:val="left"/>
              <w:rPr>
                <w:b/>
                <w:b/>
                <w:bCs/>
                <w:i/>
                <w:i/>
                <w:iCs/>
                <w:color w:val="000000"/>
                <w:sz w:val="24"/>
                <w:szCs w:val="24"/>
              </w:rPr>
            </w:pPr>
            <w:r>
              <w:rPr>
                <w:b/>
                <w:bCs/>
                <w:i/>
                <w:iCs/>
                <w:color w:val="000000"/>
                <w:sz w:val="24"/>
                <w:szCs w:val="24"/>
              </w:rPr>
              <w:t>Documentación</w:t>
            </w:r>
          </w:p>
        </w:tc>
        <w:tc>
          <w:tcPr>
            <w:tcW w:w="6032" w:type="dxa"/>
            <w:tcBorders/>
            <w:vAlign w:val="center"/>
          </w:tcPr>
          <w:p>
            <w:pPr>
              <w:pStyle w:val="Contenidodelatabla"/>
              <w:jc w:val="center"/>
              <w:rPr>
                <w:b w:val="false"/>
                <w:b w:val="false"/>
                <w:bCs w:val="false"/>
                <w:color w:val="000000"/>
                <w:sz w:val="22"/>
                <w:szCs w:val="22"/>
              </w:rPr>
            </w:pPr>
            <w:r>
              <w:rPr>
                <w:b w:val="false"/>
                <w:bCs w:val="false"/>
                <w:color w:val="000000"/>
                <w:sz w:val="22"/>
                <w:szCs w:val="22"/>
              </w:rPr>
              <w:t>https://docs.microsoft.com/es-es/azure/architecture/guide/architecture-styles/microservices</w:t>
            </w:r>
          </w:p>
        </w:tc>
      </w:tr>
    </w:tbl>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Fonts w:eastAsia="Noto Sans CJK SC" w:cs="Lohit Devanagari"/>
          <w:b w:val="false"/>
          <w:bCs w:val="false"/>
          <w:i/>
          <w:iCs/>
          <w:color w:val="000000"/>
          <w:kern w:val="0"/>
          <w:sz w:val="20"/>
          <w:szCs w:val="20"/>
          <w:lang w:val="es-ES" w:eastAsia="en-US" w:bidi="ar-SA"/>
        </w:rPr>
        <w:t xml:space="preserve">(Tabla ADR-001 </w:t>
      </w:r>
      <w:r>
        <w:rPr>
          <w:rFonts w:eastAsia="Noto Sans CJK SC" w:cs="Lohit Devanagari"/>
          <w:b w:val="false"/>
          <w:bCs w:val="false"/>
          <w:i/>
          <w:iCs/>
          <w:color w:val="000000"/>
          <w:kern w:val="0"/>
          <w:sz w:val="20"/>
          <w:szCs w:val="20"/>
          <w:lang w:val="es-ES" w:eastAsia="en-US" w:bidi="ar-SA"/>
        </w:rPr>
        <w:t>(1)</w:t>
      </w:r>
      <w:r>
        <w:rPr>
          <w:rFonts w:eastAsia="Noto Sans CJK SC" w:cs="Lohit Devanagari"/>
          <w:b w:val="false"/>
          <w:bCs w:val="false"/>
          <w:i/>
          <w:iCs/>
          <w:color w:val="000000"/>
          <w:kern w:val="0"/>
          <w:sz w:val="20"/>
          <w:szCs w:val="20"/>
          <w:lang w:val="es-ES" w:eastAsia="en-US" w:bidi="ar-SA"/>
        </w:rPr>
        <w:t>)</w:t>
      </w:r>
    </w:p>
    <w:sectPr>
      <w:headerReference w:type="default" r:id="rId3"/>
      <w:headerReference w:type="first" r:id="rId4"/>
      <w:footerReference w:type="default" r:id="rId5"/>
      <w:footerReference w:type="first" r:id="rId6"/>
      <w:type w:val="nextPage"/>
      <w:pgSz w:w="11906" w:h="16838"/>
      <w:pgMar w:left="1152" w:right="1152" w:header="720" w:top="1512" w:footer="288" w:bottom="720" w:gutter="0"/>
      <w:pgNumType w:start="1" w:fmt="decimal"/>
      <w:formProt w:val="false"/>
      <w:titlePg/>
      <w:textDirection w:val="lrTb"/>
      <w:docGrid w:type="default" w:linePitch="38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lang w:bidi="es-ES"/>
      </w:rPr>
    </w:pPr>
    <w:r>
      <w:rPr>
        <w:lang w:bidi="es-ES"/>
      </w:rPr>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0" distR="0" simplePos="0" locked="0" layoutInCell="1" allowOverlap="1" relativeHeight="4" wp14:anchorId="483C185D">
              <wp:simplePos x="0" y="0"/>
              <wp:positionH relativeFrom="column">
                <wp:posOffset>-731520</wp:posOffset>
              </wp:positionH>
              <wp:positionV relativeFrom="paragraph">
                <wp:posOffset>-3577590</wp:posOffset>
              </wp:positionV>
              <wp:extent cx="7766685" cy="3990340"/>
              <wp:effectExtent l="0" t="0" r="9525" b="0"/>
              <wp:wrapNone/>
              <wp:docPr id="8" name="Rectángulo 11" descr="Rectángulo de color"/>
              <a:graphic xmlns:a="http://schemas.openxmlformats.org/drawingml/2006/main">
                <a:graphicData uri="http://schemas.microsoft.com/office/word/2010/wordprocessingShape">
                  <wps:wsp>
                    <wps:cNvSpPr/>
                    <wps:spPr>
                      <a:xfrm>
                        <a:off x="0" y="0"/>
                        <a:ext cx="7765920" cy="39898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1" fillcolor="#34aba2" stroked="f" style="position:absolute;margin-left:-57.6pt;margin-top:-281.7pt;width:611.45pt;height:314.1pt" wp14:anchorId="483C185D">
              <w10:wrap type="none"/>
              <v:fill o:detectmouseclick="t" type="solid" color2="#cb545d"/>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2" w:type="dxa"/>
      <w:jc w:val="left"/>
      <w:tblInd w:w="0" w:type="dxa"/>
      <w:tblCellMar>
        <w:top w:w="0" w:type="dxa"/>
        <w:left w:w="0" w:type="dxa"/>
        <w:bottom w:w="0" w:type="dxa"/>
        <w:right w:w="0" w:type="dxa"/>
      </w:tblCellMar>
      <w:tblLook w:val="0000" w:noHBand="0" w:noVBand="0" w:firstColumn="0" w:lastRow="0" w:lastColumn="0" w:firstRow="0"/>
    </w:tblPr>
    <w:tblGrid>
      <w:gridCol w:w="9612"/>
    </w:tblGrid>
    <w:tr>
      <w:trPr>
        <w:trHeight w:val="259" w:hRule="exact"/>
      </w:trPr>
      <w:tc>
        <w:tcPr>
          <w:tcW w:w="9612" w:type="dxa"/>
          <w:tcBorders>
            <w:bottom w:val="single" w:sz="36" w:space="0" w:color="34ABA2"/>
          </w:tcBorders>
        </w:tcPr>
        <w:p>
          <w:pPr>
            <w:pStyle w:val="Cabecera"/>
            <w:rPr/>
          </w:pPr>
          <w:r>
            <w:rPr/>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1" allowOverlap="1" relativeHeight="3" wp14:anchorId="704B7B1D">
              <wp:simplePos x="0" y="0"/>
              <wp:positionH relativeFrom="column">
                <wp:posOffset>-188595</wp:posOffset>
              </wp:positionH>
              <wp:positionV relativeFrom="paragraph">
                <wp:posOffset>457200</wp:posOffset>
              </wp:positionV>
              <wp:extent cx="3942715" cy="8268970"/>
              <wp:effectExtent l="0" t="0" r="3810" b="1905"/>
              <wp:wrapNone/>
              <wp:docPr id="6" name="Rectángulo 13" descr="Rectángulo blanco para texto en portada"/>
              <a:graphic xmlns:a="http://schemas.openxmlformats.org/drawingml/2006/main">
                <a:graphicData uri="http://schemas.microsoft.com/office/word/2010/wordprocessingShape">
                  <wps:wsp>
                    <wps:cNvSpPr/>
                    <wps:spPr>
                      <a:xfrm>
                        <a:off x="0" y="0"/>
                        <a:ext cx="3942000" cy="8268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3" fillcolor="white" stroked="f" style="position:absolute;margin-left:-14.85pt;margin-top:36pt;width:310.35pt;height:651pt" wp14:anchorId="704B7B1D">
              <w10:wrap type="none"/>
              <v:fill o:detectmouseclick="t" type="solid" color2="black"/>
              <v:stroke color="#3465a4" weight="25560" joinstyle="round" endcap="flat"/>
            </v:rect>
          </w:pict>
        </mc:Fallback>
      </mc:AlternateContent>
      <w:drawing>
        <wp:anchor behindDoc="1" distT="0" distB="0" distL="0" distR="0" simplePos="0" locked="0" layoutInCell="1" allowOverlap="1" relativeHeight="2">
          <wp:simplePos x="0" y="0"/>
          <wp:positionH relativeFrom="column">
            <wp:posOffset>-750570</wp:posOffset>
          </wp:positionH>
          <wp:positionV relativeFrom="paragraph">
            <wp:posOffset>-457200</wp:posOffset>
          </wp:positionV>
          <wp:extent cx="7560310" cy="6682740"/>
          <wp:effectExtent l="0" t="0" r="0" b="0"/>
          <wp:wrapNone/>
          <wp:docPr id="7" name="Imagen 2"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Vista de la calle con edificios, establecimientos y cantantes de calle"/>
                  <pic:cNvPicPr>
                    <a:picLocks noChangeAspect="1" noChangeArrowheads="1"/>
                  </pic:cNvPicPr>
                </pic:nvPicPr>
                <pic:blipFill>
                  <a:blip r:embed="rId1"/>
                  <a:stretch>
                    <a:fillRect/>
                  </a:stretch>
                </pic:blipFill>
                <pic:spPr bwMode="auto">
                  <a:xfrm>
                    <a:off x="0" y="0"/>
                    <a:ext cx="7560310" cy="66827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6945"/>
    <w:pPr>
      <w:widowControl/>
      <w:suppressAutoHyphens w:val="true"/>
      <w:bidi w:val="0"/>
      <w:spacing w:lineRule="auto" w:line="276" w:before="0" w:after="0"/>
      <w:jc w:val="left"/>
    </w:pPr>
    <w:rPr>
      <w:rFonts w:ascii="Calibri" w:hAnsi="Calibri" w:eastAsia="" w:cs="" w:eastAsiaTheme="minorEastAsia"/>
      <w:b/>
      <w:color w:val="082A75" w:themeColor="text2"/>
      <w:kern w:val="0"/>
      <w:sz w:val="28"/>
      <w:szCs w:val="22"/>
      <w:lang w:val="es-ES" w:eastAsia="en-US" w:bidi="ar-SA"/>
    </w:rPr>
  </w:style>
  <w:style w:type="paragraph" w:styleId="Ttulo1">
    <w:name w:val="Heading 1"/>
    <w:basedOn w:val="Normal"/>
    <w:link w:val="Heading1Char"/>
    <w:uiPriority w:val="4"/>
    <w:qFormat/>
    <w:rsid w:val="00d077e9"/>
    <w:pPr>
      <w:keepNext w:val="true"/>
      <w:spacing w:before="240" w:after="60"/>
      <w:outlineLvl w:val="0"/>
    </w:pPr>
    <w:rPr>
      <w:rFonts w:ascii="Arial" w:hAnsi="Arial" w:eastAsia="" w:cs="" w:asciiTheme="majorHAnsi" w:cstheme="majorBidi" w:eastAsiaTheme="majorEastAsia" w:hAnsiTheme="majorHAnsi"/>
      <w:color w:val="061F57" w:themeColor="text2" w:themeShade="bf"/>
      <w:kern w:val="2"/>
      <w:sz w:val="52"/>
      <w:szCs w:val="32"/>
    </w:rPr>
  </w:style>
  <w:style w:type="paragraph" w:styleId="Ttulo2">
    <w:name w:val="Heading 2"/>
    <w:basedOn w:val="Normal"/>
    <w:next w:val="Normal"/>
    <w:link w:val="Heading2Char"/>
    <w:uiPriority w:val="4"/>
    <w:qFormat/>
    <w:rsid w:val="00df027c"/>
    <w:pPr>
      <w:keepNext w:val="true"/>
      <w:spacing w:lineRule="auto" w:line="240" w:before="0" w:after="240"/>
      <w:outlineLvl w:val="1"/>
    </w:pPr>
    <w:rPr>
      <w:rFonts w:eastAsia="" w:cs="" w:cstheme="majorBidi" w:eastAsiaTheme="majorEastAsia"/>
      <w:b w:val="false"/>
      <w:sz w:val="36"/>
      <w:szCs w:val="26"/>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TitleChar" w:customStyle="1">
    <w:name w:val="Title Char"/>
    <w:basedOn w:val="DefaultParagraphFont"/>
    <w:link w:val="Title"/>
    <w:uiPriority w:val="1"/>
    <w:qFormat/>
    <w:rsid w:val="00d86945"/>
    <w:rPr>
      <w:rFonts w:ascii="Arial" w:hAnsi="Arial" w:eastAsia="" w:cs="" w:asciiTheme="majorHAnsi" w:cstheme="majorBidi" w:eastAsiaTheme="majorEastAsia" w:hAnsiTheme="majorHAnsi"/>
      <w:b/>
      <w:bCs/>
      <w:color w:val="082A75" w:themeColor="text2"/>
      <w:sz w:val="72"/>
      <w:szCs w:val="52"/>
    </w:rPr>
  </w:style>
  <w:style w:type="character" w:styleId="SubtitleChar" w:customStyle="1">
    <w:name w:val="Subtitle Char"/>
    <w:basedOn w:val="DefaultParagraphFont"/>
    <w:link w:val="Subtitle"/>
    <w:uiPriority w:val="2"/>
    <w:qFormat/>
    <w:rsid w:val="00d86945"/>
    <w:rPr>
      <w:rFonts w:eastAsia="" w:eastAsiaTheme="minorEastAsia"/>
      <w:caps/>
      <w:color w:val="082A75" w:themeColor="text2"/>
      <w:spacing w:val="20"/>
      <w:sz w:val="32"/>
      <w:szCs w:val="22"/>
    </w:rPr>
  </w:style>
  <w:style w:type="character" w:styleId="Heading1Char" w:customStyle="1">
    <w:name w:val="Heading 1 Char"/>
    <w:basedOn w:val="DefaultParagraphFont"/>
    <w:link w:val="Heading1"/>
    <w:uiPriority w:val="4"/>
    <w:qFormat/>
    <w:rsid w:val="00d077e9"/>
    <w:rPr>
      <w:rFonts w:ascii="Arial" w:hAnsi="Arial" w:eastAsia="" w:cs="" w:asciiTheme="majorHAnsi" w:cstheme="majorBidi" w:eastAsiaTheme="majorEastAsia" w:hAnsiTheme="majorHAnsi"/>
      <w:b/>
      <w:color w:val="061F57" w:themeColor="text2" w:themeShade="bf"/>
      <w:kern w:val="2"/>
      <w:sz w:val="52"/>
      <w:szCs w:val="32"/>
    </w:rPr>
  </w:style>
  <w:style w:type="character" w:styleId="HeaderChar" w:customStyle="1">
    <w:name w:val="Header Char"/>
    <w:basedOn w:val="DefaultParagraphFont"/>
    <w:link w:val="Header"/>
    <w:uiPriority w:val="8"/>
    <w:qFormat/>
    <w:rsid w:val="005d55b2"/>
    <w:rPr>
      <w:rFonts w:eastAsia="" w:eastAsiaTheme="minorEastAsia"/>
      <w:b/>
      <w:color w:val="082A75" w:themeColor="text2"/>
      <w:sz w:val="22"/>
      <w:szCs w:val="22"/>
    </w:rPr>
  </w:style>
  <w:style w:type="character" w:styleId="FooterChar" w:customStyle="1">
    <w:name w:val="Footer Char"/>
    <w:basedOn w:val="DefaultParagraphFont"/>
    <w:link w:val="Footer"/>
    <w:uiPriority w:val="99"/>
    <w:qFormat/>
    <w:rsid w:val="005037f0"/>
    <w:rPr>
      <w:sz w:val="24"/>
      <w:szCs w:val="24"/>
    </w:rPr>
  </w:style>
  <w:style w:type="character" w:styleId="Heading2Char" w:customStyle="1">
    <w:name w:val="Heading 2 Char"/>
    <w:basedOn w:val="DefaultParagraphFont"/>
    <w:link w:val="Heading2"/>
    <w:uiPriority w:val="4"/>
    <w:qFormat/>
    <w:rsid w:val="00df027c"/>
    <w:rPr>
      <w:rFonts w:eastAsia="" w:cs="" w:cstheme="majorBidi" w:eastAsiaTheme="majorEastAsia"/>
      <w:color w:val="082A75" w:themeColor="text2"/>
      <w:sz w:val="36"/>
      <w:szCs w:val="26"/>
    </w:rPr>
  </w:style>
  <w:style w:type="character" w:styleId="PlaceholderText">
    <w:name w:val="Placeholder Text"/>
    <w:basedOn w:val="DefaultParagraphFont"/>
    <w:uiPriority w:val="99"/>
    <w:unhideWhenUsed/>
    <w:qFormat/>
    <w:rsid w:val="00d86945"/>
    <w:rPr>
      <w:color w:val="808080"/>
    </w:rPr>
  </w:style>
  <w:style w:type="character" w:styleId="Carcterdecontenido" w:customStyle="1">
    <w:name w:val="Carácter de contenido"/>
    <w:basedOn w:val="DefaultParagraphFont"/>
    <w:link w:val="Contenido"/>
    <w:qFormat/>
    <w:rsid w:val="00df027c"/>
    <w:rPr>
      <w:rFonts w:eastAsia="" w:eastAsiaTheme="minorEastAsia"/>
      <w:color w:val="082A75" w:themeColor="text2"/>
      <w:sz w:val="28"/>
      <w:szCs w:val="22"/>
    </w:rPr>
  </w:style>
  <w:style w:type="character" w:styleId="Carcterdetextodestacado" w:customStyle="1">
    <w:name w:val="Carácter de texto destacado"/>
    <w:basedOn w:val="DefaultParagraphFont"/>
    <w:link w:val="Textodestacado"/>
    <w:qFormat/>
    <w:rsid w:val="00df027c"/>
    <w:rPr>
      <w:rFonts w:eastAsia="" w:eastAsiaTheme="minorEastAsia"/>
      <w:b/>
      <w:color w:val="082A75" w:themeColor="text2"/>
      <w:sz w:val="28"/>
      <w:szCs w:val="22"/>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Ttulogeneral">
    <w:name w:val="Title"/>
    <w:basedOn w:val="Normal"/>
    <w:link w:val="TitleChar"/>
    <w:uiPriority w:val="1"/>
    <w:qFormat/>
    <w:rsid w:val="00d86945"/>
    <w:pPr>
      <w:spacing w:lineRule="auto" w:line="240" w:before="0" w:after="200"/>
    </w:pPr>
    <w:rPr>
      <w:rFonts w:ascii="Arial" w:hAnsi="Arial" w:eastAsia="" w:cs="" w:asciiTheme="majorHAnsi" w:cstheme="majorBidi" w:eastAsiaTheme="majorEastAsia" w:hAnsiTheme="majorHAnsi"/>
      <w:bCs/>
      <w:sz w:val="72"/>
      <w:szCs w:val="52"/>
    </w:rPr>
  </w:style>
  <w:style w:type="paragraph" w:styleId="Subttulo">
    <w:name w:val="Subtitle"/>
    <w:basedOn w:val="Normal"/>
    <w:link w:val="SubtitleChar"/>
    <w:uiPriority w:val="2"/>
    <w:qFormat/>
    <w:rsid w:val="00d86945"/>
    <w:pPr/>
    <w:rPr>
      <w:b w:val="false"/>
      <w:caps/>
      <w:spacing w:val="20"/>
      <w:sz w:val="32"/>
    </w:rPr>
  </w:style>
  <w:style w:type="paragraph" w:styleId="Cabeceraypie">
    <w:name w:val="Cabecera y pie"/>
    <w:basedOn w:val="Normal"/>
    <w:qFormat/>
    <w:pPr/>
    <w:rPr/>
  </w:style>
  <w:style w:type="paragraph" w:styleId="Cabecera">
    <w:name w:val="Header"/>
    <w:basedOn w:val="Normal"/>
    <w:link w:val="HeaderChar"/>
    <w:uiPriority w:val="8"/>
    <w:unhideWhenUsed/>
    <w:rsid w:val="005d55b2"/>
    <w:pPr/>
    <w:rPr>
      <w:sz w:val="22"/>
    </w:rPr>
  </w:style>
  <w:style w:type="paragraph" w:styleId="Piedepgina">
    <w:name w:val="Footer"/>
    <w:basedOn w:val="Normal"/>
    <w:link w:val="FooterChar"/>
    <w:uiPriority w:val="99"/>
    <w:unhideWhenUsed/>
    <w:rsid w:val="005037f0"/>
    <w:pPr/>
    <w:rPr/>
  </w:style>
  <w:style w:type="paragraph" w:styleId="Nombre" w:customStyle="1">
    <w:name w:val="Nombre"/>
    <w:basedOn w:val="Normal"/>
    <w:uiPriority w:val="3"/>
    <w:qFormat/>
    <w:rsid w:val="00b231e5"/>
    <w:pPr>
      <w:spacing w:lineRule="auto" w:line="240"/>
      <w:jc w:val="right"/>
    </w:pPr>
    <w:rPr/>
  </w:style>
  <w:style w:type="paragraph" w:styleId="Contenido" w:customStyle="1">
    <w:name w:val="Contenido"/>
    <w:basedOn w:val="Normal"/>
    <w:link w:val="Carcterdecontenido"/>
    <w:qFormat/>
    <w:rsid w:val="00df027c"/>
    <w:pPr/>
    <w:rPr>
      <w:b w:val="false"/>
      <w:sz w:val="24"/>
    </w:rPr>
  </w:style>
  <w:style w:type="paragraph" w:styleId="Textodestacado" w:customStyle="1">
    <w:name w:val="Texto destacado"/>
    <w:basedOn w:val="Normal"/>
    <w:link w:val="Carcterdetextodestacado"/>
    <w:qFormat/>
    <w:rsid w:val="00df027c"/>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coto.2018@alumnos.urjc.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TM16392850</Template>
  <TotalTime>20</TotalTime>
  <Application>LibreOffice/6.4.7.2$Linux_X86_64 LibreOffice_project/40$Build-2</Application>
  <Pages>6</Pages>
  <Words>998</Words>
  <Characters>5827</Characters>
  <CharactersWithSpaces>6648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2021-11-03T10:52:56Z</dcterms:created>
  <dc:creator>Hugo Coto González</dc:creator>
  <dc:description/>
  <dc:language>es-ES</dc:language>
  <cp:lastModifiedBy/>
  <dcterms:modified xsi:type="dcterms:W3CDTF">2021-11-16T13:34:28Z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