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bottomFromText="0" w:horzAnchor="margin" w:leftFromText="180" w:rightFromText="180" w:tblpX="0" w:tblpY="-7" w:topFromText="0" w:vertAnchor="text"/>
        <w:tblW w:w="10368" w:type="dxa"/>
        <w:jc w:val="left"/>
        <w:tblInd w:w="0" w:type="dxa"/>
        <w:tblCellMar>
          <w:top w:w="0" w:type="dxa"/>
          <w:left w:w="0" w:type="dxa"/>
          <w:bottom w:w="0" w:type="dxa"/>
          <w:right w:w="0" w:type="dxa"/>
        </w:tblCellMar>
        <w:tblLook w:val="0000" w:noHBand="0" w:noVBand="0" w:firstColumn="0" w:lastRow="0" w:lastColumn="0" w:firstRow="0"/>
      </w:tblPr>
      <w:tblGrid>
        <w:gridCol w:w="5903"/>
        <w:gridCol w:w="4464"/>
      </w:tblGrid>
      <w:tr>
        <w:trPr>
          <w:trHeight w:val="3119" w:hRule="exact"/>
        </w:trPr>
        <w:tc>
          <w:tcPr>
            <w:tcW w:w="5903" w:type="dxa"/>
            <w:tcBorders/>
            <w:shd w:color="auto" w:fill="FFFFFF" w:themeFill="background1" w:val="clear"/>
          </w:tcPr>
          <w:p>
            <w:pPr>
              <w:pStyle w:val="Ttulogeneral"/>
              <w:rPr>
                <w:rFonts w:ascii="FreeSans" w:hAnsi="FreeSans"/>
              </w:rPr>
            </w:pPr>
            <w:r>
              <w:rPr>
                <w:rFonts w:eastAsia="" w:cs="" w:ascii="FreeSans" w:hAnsi="FreeSans" w:cstheme="majorBidi" w:eastAsiaTheme="majorEastAsia"/>
                <w:b/>
                <w:bCs/>
                <w:color w:val="082A75"/>
                <w:sz w:val="44"/>
                <w:szCs w:val="44"/>
                <w:lang w:bidi="es-ES"/>
              </w:rPr>
              <w:t>CAPTURA Y REPRESENTACIÓN DE DECISIONES DE DISEÑO</w:t>
            </w:r>
          </w:p>
          <w:p>
            <w:pPr>
              <w:pStyle w:val="Ttulogeneral"/>
              <w:spacing w:before="0" w:after="0"/>
              <w:rPr>
                <w:rFonts w:ascii="FreeSans" w:hAnsi="FreeSans"/>
              </w:rPr>
            </w:pPr>
            <w:r>
              <w:rPr>
                <w:rFonts w:ascii="FreeSans" w:hAnsi="FreeSans"/>
                <w:sz w:val="52"/>
                <w:szCs w:val="52"/>
                <w:lang w:bidi="es-ES"/>
              </w:rPr>
              <w:t>PRÁCTICA 1</w:t>
            </w:r>
          </w:p>
          <w:p>
            <w:pPr>
              <w:pStyle w:val="Normal"/>
              <w:rPr/>
            </w:pPr>
            <w:r>
              <w:rPr/>
              <mc:AlternateContent>
                <mc:Choice Requires="wps">
                  <w:drawing>
                    <wp:inline distT="19050" distB="19050" distL="0" distR="19050" wp14:anchorId="325EECF4">
                      <wp:extent cx="1395095" cy="1270"/>
                      <wp:effectExtent l="0" t="19050" r="19050" b="19050"/>
                      <wp:docPr id="1" name="Forma1"/>
                      <a:graphic xmlns:a="http://schemas.openxmlformats.org/drawingml/2006/main">
                        <a:graphicData uri="http://schemas.microsoft.com/office/word/2010/wordprocessingShape">
                          <wps:wsp>
                            <wps:cNvSpPr/>
                            <wps:spPr>
                              <a:xfrm>
                                <a:off x="0" y="0"/>
                                <a:ext cx="1394640" cy="0"/>
                              </a:xfrm>
                              <a:prstGeom prst="line">
                                <a:avLst/>
                              </a:prstGeom>
                              <a:ln w="38160">
                                <a:solidFill>
                                  <a:schemeClr val="tx2"/>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3.05pt" to="109.75pt,-3.05pt" ID="Forma1" stroked="t" style="position:absolute;mso-position-vertical:top" wp14:anchorId="325EECF4">
                      <v:stroke color="#082a75" weight="38160" joinstyle="round" endcap="flat"/>
                      <v:fill o:detectmouseclick="t" on="false"/>
                    </v:line>
                  </w:pict>
                </mc:Fallback>
              </mc:AlternateContent>
            </w:r>
          </w:p>
        </w:tc>
        <w:tc>
          <w:tcPr>
            <w:tcW w:w="4464" w:type="dxa"/>
            <w:tcBorders/>
          </w:tcPr>
          <w:p>
            <w:pPr>
              <w:pStyle w:val="Normal"/>
              <w:rPr/>
            </w:pPr>
            <w:r>
              <w:rPr/>
            </w:r>
          </w:p>
        </w:tc>
      </w:tr>
      <w:tr>
        <w:trPr>
          <w:trHeight w:val="6831" w:hRule="exact"/>
        </w:trPr>
        <w:tc>
          <w:tcPr>
            <w:tcW w:w="5903" w:type="dxa"/>
            <w:tcBorders/>
            <w:shd w:color="auto" w:fill="FFFFFF" w:themeFill="background1" w:val="clear"/>
          </w:tcPr>
          <w:p>
            <w:pPr>
              <w:pStyle w:val="Normal"/>
              <w:rPr/>
            </w:pPr>
            <w:r>
              <w:rPr/>
            </w:r>
          </w:p>
        </w:tc>
        <w:tc>
          <w:tcPr>
            <w:tcW w:w="4464" w:type="dxa"/>
            <w:tcBorders/>
          </w:tcPr>
          <w:p>
            <w:pPr>
              <w:pStyle w:val="Normal"/>
              <w:rPr/>
            </w:pPr>
            <w:r>
              <w:rPr/>
            </w:r>
          </w:p>
        </w:tc>
      </w:tr>
      <w:tr>
        <w:trPr>
          <w:trHeight w:val="2621" w:hRule="exact"/>
        </w:trPr>
        <w:tc>
          <w:tcPr>
            <w:tcW w:w="5903" w:type="dxa"/>
            <w:tcBorders/>
            <w:shd w:color="auto" w:fill="FFFFFF" w:themeFill="background1" w:val="clear"/>
          </w:tcPr>
          <w:p>
            <w:pPr>
              <w:pStyle w:val="Normal"/>
              <w:rPr/>
            </w:pPr>
            <w:r>
              <w:rPr>
                <w:rStyle w:val="SubtitleChar"/>
                <w:b w:val="false"/>
                <w:lang w:bidi="es-ES"/>
              </w:rPr>
              <w:t>22/11/2021</w:t>
            </w:r>
          </w:p>
          <w:p>
            <w:pPr>
              <w:pStyle w:val="Normal"/>
              <w:rPr>
                <w:sz w:val="10"/>
                <w:szCs w:val="10"/>
              </w:rPr>
            </w:pPr>
            <w:r>
              <w:rPr/>
              <mc:AlternateContent>
                <mc:Choice Requires="wps">
                  <w:drawing>
                    <wp:inline distT="19050" distB="19050" distL="0" distR="30480" wp14:anchorId="05221EEA">
                      <wp:extent cx="1497965" cy="1270"/>
                      <wp:effectExtent l="0" t="19050" r="30480" b="19050"/>
                      <wp:docPr id="2" name="Forma2"/>
                      <a:graphic xmlns:a="http://schemas.openxmlformats.org/drawingml/2006/main">
                        <a:graphicData uri="http://schemas.microsoft.com/office/word/2010/wordprocessingShape">
                          <wps:wsp>
                            <wps:cNvSpPr/>
                            <wps:spPr>
                              <a:xfrm>
                                <a:off x="0" y="0"/>
                                <a:ext cx="1497240" cy="0"/>
                              </a:xfrm>
                              <a:prstGeom prst="line">
                                <a:avLst/>
                              </a:prstGeom>
                              <a:ln w="38160">
                                <a:solidFill>
                                  <a:schemeClr val="tx2"/>
                                </a:solidFill>
                                <a:round/>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3.05pt" to="117.85pt,-3.05pt" ID="Forma2" stroked="t" style="position:absolute;mso-position-vertical:top" wp14:anchorId="05221EEA">
                      <v:stroke color="#082a75" weight="38160" joinstyle="round" endcap="flat"/>
                      <v:fill o:detectmouseclick="t" on="false"/>
                    </v:line>
                  </w:pict>
                </mc:Fallback>
              </mc:AlternateContent>
            </w:r>
          </w:p>
          <w:p>
            <w:pPr>
              <w:pStyle w:val="Normal"/>
              <w:rPr>
                <w:rFonts w:eastAsia="" w:eastAsiaTheme="minorEastAsia"/>
                <w:b/>
                <w:b/>
                <w:color w:val="082A75" w:themeColor="text2"/>
                <w:sz w:val="28"/>
                <w:szCs w:val="22"/>
                <w:lang w:bidi="es-ES"/>
              </w:rPr>
            </w:pPr>
            <w:r>
              <w:rPr>
                <w:rFonts w:eastAsia="" w:eastAsiaTheme="minorEastAsia"/>
                <w:b/>
                <w:color w:val="082A75" w:themeColor="text2"/>
                <w:sz w:val="28"/>
                <w:szCs w:val="22"/>
                <w:lang w:bidi="es-ES"/>
              </w:rPr>
            </w:r>
          </w:p>
          <w:p>
            <w:pPr>
              <w:pStyle w:val="Normal"/>
              <w:rPr>
                <w:rFonts w:eastAsia="" w:eastAsiaTheme="minorEastAsia"/>
                <w:b/>
                <w:b/>
                <w:color w:val="082A75" w:themeColor="text2"/>
                <w:sz w:val="28"/>
                <w:szCs w:val="22"/>
                <w:lang w:bidi="es-ES"/>
              </w:rPr>
            </w:pPr>
            <w:r>
              <w:rPr>
                <w:rFonts w:eastAsia="" w:eastAsiaTheme="minorEastAsia"/>
                <w:b/>
                <w:color w:val="082A75" w:themeColor="text2"/>
                <w:sz w:val="28"/>
                <w:szCs w:val="22"/>
                <w:lang w:bidi="es-ES"/>
              </w:rPr>
              <w:t>GRUPO 8</w:t>
            </w:r>
          </w:p>
          <w:p>
            <w:pPr>
              <w:pStyle w:val="Normal"/>
              <w:rPr>
                <w:sz w:val="21"/>
                <w:szCs w:val="21"/>
              </w:rPr>
            </w:pPr>
            <w:r>
              <w:rPr>
                <w:sz w:val="21"/>
                <w:szCs w:val="21"/>
                <w:lang w:bidi="es-ES"/>
              </w:rPr>
              <w:t>Hugo Coto G. (</w:t>
            </w:r>
            <w:hyperlink r:id="rId2">
              <w:r>
                <w:rPr>
                  <w:rStyle w:val="EnlacedeInternet"/>
                  <w:sz w:val="21"/>
                  <w:szCs w:val="21"/>
                  <w:lang w:bidi="es-ES"/>
                </w:rPr>
                <w:t>h.coto.2018@alumnos.urjc.es</w:t>
              </w:r>
            </w:hyperlink>
            <w:r>
              <w:rPr>
                <w:sz w:val="21"/>
                <w:szCs w:val="21"/>
                <w:lang w:bidi="es-ES"/>
              </w:rPr>
              <w:t>)|</w:t>
            </w:r>
          </w:p>
          <w:p>
            <w:pPr>
              <w:pStyle w:val="Normal"/>
              <w:rPr>
                <w:sz w:val="21"/>
                <w:szCs w:val="21"/>
              </w:rPr>
            </w:pPr>
            <w:r>
              <w:rPr>
                <w:sz w:val="21"/>
                <w:szCs w:val="21"/>
                <w:lang w:bidi="es-ES"/>
              </w:rPr>
              <w:t xml:space="preserve">Alberto García S. | Rodrigo Marqués B. | </w:t>
            </w:r>
          </w:p>
          <w:p>
            <w:pPr>
              <w:pStyle w:val="Normal"/>
              <w:rPr>
                <w:sz w:val="21"/>
                <w:szCs w:val="21"/>
              </w:rPr>
            </w:pPr>
            <w:r>
              <w:rPr>
                <w:sz w:val="21"/>
                <w:szCs w:val="21"/>
                <w:lang w:bidi="es-ES"/>
              </w:rPr>
              <w:t>Enrique Martín S. | Iván Sánchez L.</w:t>
            </w:r>
          </w:p>
          <w:p>
            <w:pPr>
              <w:pStyle w:val="Normal"/>
              <w:rPr>
                <w:sz w:val="10"/>
                <w:szCs w:val="10"/>
              </w:rPr>
            </w:pPr>
            <w:r>
              <w:rPr>
                <w:sz w:val="10"/>
                <w:szCs w:val="10"/>
              </w:rPr>
            </w:r>
          </w:p>
        </w:tc>
        <w:tc>
          <w:tcPr>
            <w:tcW w:w="4464" w:type="dxa"/>
            <w:tcBorders/>
            <w:shd w:color="auto" w:fill="34ABA2" w:themeFill="accent6" w:val="clear"/>
            <w:vAlign w:val="bottom"/>
          </w:tcPr>
          <w:p>
            <w:pPr>
              <w:pStyle w:val="Normal"/>
              <w:jc w:val="right"/>
              <w:rPr/>
            </w:pPr>
            <w:r>
              <w:rPr/>
            </w:r>
          </w:p>
        </w:tc>
      </w:tr>
    </w:tbl>
    <w:p>
      <w:pPr>
        <w:pStyle w:val="Normal"/>
        <w:spacing w:before="0" w:after="200"/>
        <w:rPr/>
      </w:pPr>
      <w:r>
        <w:rPr/>
      </w:r>
      <w:bookmarkStart w:id="0" w:name="_GoBack"/>
      <w:bookmarkStart w:id="1" w:name="_GoBack"/>
      <w:bookmarkEnd w:id="1"/>
    </w:p>
    <w:p>
      <w:pPr>
        <w:pStyle w:val="Ttulo1"/>
        <w:spacing w:before="240" w:after="200"/>
        <w:rPr>
          <w:rFonts w:ascii="Arial" w:hAnsi="Arial" w:eastAsia="" w:cs="" w:asciiTheme="majorHAnsi" w:cstheme="majorBidi" w:eastAsiaTheme="majorEastAsia" w:hAnsiTheme="majorHAnsi"/>
          <w:b/>
          <w:b/>
          <w:color w:val="061F57" w:themeColor="text2" w:themeShade="bf"/>
          <w:kern w:val="2"/>
          <w:sz w:val="52"/>
          <w:szCs w:val="32"/>
          <w:lang w:val="es-ES" w:eastAsia="en-US" w:bidi="es-ES"/>
        </w:rPr>
      </w:pPr>
      <w:r>
        <w:rPr>
          <w:rFonts w:eastAsia="" w:cs="" w:cstheme="majorBidi" w:eastAsiaTheme="majorEastAsia"/>
          <w:b/>
          <w:color w:val="061F57" w:themeColor="text2" w:themeShade="bf"/>
          <w:kern w:val="2"/>
          <w:sz w:val="52"/>
          <w:szCs w:val="32"/>
          <w:lang w:val="es-ES" w:eastAsia="en-US" w:bidi="es-ES"/>
        </w:rPr>
        <w:t>Índice</w:t>
      </w:r>
    </w:p>
    <w:p>
      <w:pPr>
        <w:pStyle w:val="Ttulo3"/>
        <w:numPr>
          <w:ilvl w:val="2"/>
          <w:numId w:val="2"/>
        </w:numPr>
        <w:rPr>
          <w:rFonts w:ascii="Arial" w:hAnsi="Arial" w:eastAsia="" w:cs="" w:asciiTheme="majorHAnsi" w:cstheme="majorBidi" w:eastAsiaTheme="majorEastAsia" w:hAnsiTheme="majorHAnsi"/>
          <w:b/>
          <w:b/>
          <w:bCs/>
          <w:color w:val="061F57" w:themeColor="text2" w:themeShade="bf"/>
          <w:kern w:val="2"/>
          <w:sz w:val="24"/>
          <w:szCs w:val="24"/>
          <w:lang w:val="es-ES" w:eastAsia="en-US" w:bidi="es-ES"/>
        </w:rPr>
      </w:pPr>
      <w:r>
        <w:rPr/>
        <w:t>Índice general</w:t>
      </w:r>
    </w:p>
    <w:tbl>
      <w:tblPr>
        <w:tblW w:w="9563" w:type="dxa"/>
        <w:jc w:val="left"/>
        <w:tblInd w:w="40" w:type="dxa"/>
        <w:tblCellMar>
          <w:top w:w="0" w:type="dxa"/>
          <w:left w:w="0" w:type="dxa"/>
          <w:bottom w:w="0" w:type="dxa"/>
          <w:right w:w="0" w:type="dxa"/>
        </w:tblCellMar>
        <w:tblLook w:val="0000" w:noHBand="0" w:noVBand="0" w:firstColumn="0" w:lastRow="0" w:lastColumn="0" w:firstRow="0"/>
      </w:tblPr>
      <w:tblGrid>
        <w:gridCol w:w="765"/>
        <w:gridCol w:w="8252"/>
        <w:gridCol w:w="546"/>
      </w:tblGrid>
      <w:tr>
        <w:trPr>
          <w:trHeight w:val="3542" w:hRule="exact"/>
        </w:trPr>
        <w:tc>
          <w:tcPr>
            <w:tcW w:w="9563" w:type="dxa"/>
            <w:gridSpan w:val="3"/>
            <w:tcBorders/>
          </w:tcPr>
          <w:p>
            <w:pPr>
              <w:pStyle w:val="Contenido"/>
              <w:rPr>
                <w:rFonts w:ascii="Calibri" w:hAnsi="Calibri" w:eastAsia="" w:cs="" w:eastAsiaTheme="minorEastAsia"/>
                <w:color w:val="082A75" w:themeColor="text2"/>
                <w:kern w:val="0"/>
                <w:lang w:val="es-ES" w:eastAsia="en-US" w:bidi="es-ES"/>
              </w:rPr>
            </w:pPr>
            <w:r>
              <w:rPr>
                <w:rFonts w:eastAsia="" w:cs="" w:eastAsiaTheme="minorEastAsia"/>
                <w:color w:val="082A75" w:themeColor="text2"/>
                <w:kern w:val="0"/>
                <w:lang w:val="es-ES" w:eastAsia="en-US" w:bidi="es-ES"/>
              </w:rPr>
            </w:r>
          </w:p>
          <w:p>
            <w:pPr>
              <w:pStyle w:val="Normal"/>
              <w:rPr/>
            </w:pPr>
            <w:r>
              <w:rPr/>
            </w:r>
          </w:p>
          <w:p>
            <w:pPr>
              <w:pStyle w:val="Contenido"/>
              <w:rPr/>
            </w:pPr>
            <w:r>
              <w:rPr/>
            </w:r>
          </w:p>
        </w:tc>
      </w:tr>
      <w:tr>
        <w:trPr>
          <w:trHeight w:val="1901" w:hRule="exact"/>
        </w:trPr>
        <w:tc>
          <w:tcPr>
            <w:tcW w:w="765" w:type="dxa"/>
            <w:tcBorders/>
            <w:shd w:color="auto" w:fill="F2F2F2" w:themeFill="background1" w:themeFillShade="f2" w:val="clear"/>
            <w:vAlign w:val="center"/>
          </w:tcPr>
          <w:p>
            <w:pPr>
              <w:pStyle w:val="Textodestacado"/>
              <w:jc w:val="center"/>
              <w:rPr/>
            </w:pPr>
            <w:r>
              <w:rPr/>
            </w:r>
          </w:p>
        </w:tc>
        <w:tc>
          <w:tcPr>
            <w:tcW w:w="8252" w:type="dxa"/>
            <w:tcBorders/>
            <w:shd w:color="auto" w:fill="F2F2F2" w:themeFill="background1" w:themeFillShade="f2" w:val="clear"/>
            <w:vAlign w:val="center"/>
          </w:tcPr>
          <w:p>
            <w:pPr>
              <w:pStyle w:val="Normal"/>
              <w:jc w:val="center"/>
              <w:rPr/>
            </w:pPr>
            <w:r>
              <w:rPr>
                <w:i/>
                <w:sz w:val="36"/>
                <w:szCs w:val="36"/>
                <w:lang w:bidi="es-ES"/>
              </w:rPr>
              <w:t>[Aquí va el índice]</w:t>
            </w:r>
          </w:p>
        </w:tc>
        <w:tc>
          <w:tcPr>
            <w:tcW w:w="546" w:type="dxa"/>
            <w:tcBorders/>
            <w:shd w:color="auto" w:fill="F2F2F2" w:themeFill="background1" w:themeFillShade="f2" w:val="clear"/>
            <w:vAlign w:val="center"/>
          </w:tcPr>
          <w:p>
            <w:pPr>
              <w:pStyle w:val="Textodestacado"/>
              <w:jc w:val="center"/>
              <w:rPr/>
            </w:pPr>
            <w:r>
              <w:rPr/>
            </w:r>
          </w:p>
        </w:tc>
      </w:tr>
      <w:tr>
        <w:trPr>
          <w:trHeight w:val="5933" w:hRule="exact"/>
        </w:trPr>
        <w:tc>
          <w:tcPr>
            <w:tcW w:w="9563" w:type="dxa"/>
            <w:gridSpan w:val="3"/>
            <w:tcBorders/>
          </w:tcPr>
          <w:p>
            <w:pPr>
              <w:pStyle w:val="Textodestacado"/>
              <w:rPr>
                <w:i/>
                <w:i/>
                <w:sz w:val="36"/>
              </w:rPr>
            </w:pPr>
            <w:r>
              <w:rPr>
                <w:i/>
                <w:sz w:val="36"/>
              </w:rPr>
            </w:r>
          </w:p>
        </w:tc>
      </w:tr>
    </w:tbl>
    <w:p>
      <w:pPr>
        <w:pStyle w:val="Normal"/>
        <w:rPr/>
      </w:pPr>
      <w:r>
        <w:rPr/>
      </w:r>
    </w:p>
    <w:p>
      <w:pPr>
        <w:pStyle w:val="Normal"/>
        <w:rPr/>
      </w:pPr>
      <w:r>
        <w:rPr/>
      </w:r>
    </w:p>
    <w:p>
      <w:pPr>
        <w:pStyle w:val="Normal"/>
        <w:rPr/>
      </w:pPr>
      <w:r>
        <w:rPr/>
      </w:r>
    </w:p>
    <w:p>
      <w:pPr>
        <w:pStyle w:val="Ttulo2"/>
        <w:rPr>
          <w:color w:val="3465A4"/>
        </w:rPr>
      </w:pPr>
      <w:r>
        <w:rPr>
          <w:color w:val="3465A4"/>
        </w:rPr>
        <w:t>1. Roles</w:t>
      </w:r>
    </w:p>
    <w:p>
      <w:pPr>
        <w:pStyle w:val="Contenido"/>
        <w:rPr/>
      </w:pPr>
      <w:r>
        <mc:AlternateContent>
          <mc:Choice Requires="wps">
            <w:drawing>
              <wp:anchor behindDoc="0" distT="0" distB="0" distL="0" distR="0" simplePos="0" locked="0" layoutInCell="1" allowOverlap="1" relativeHeight="5">
                <wp:simplePos x="0" y="0"/>
                <wp:positionH relativeFrom="column">
                  <wp:posOffset>38735</wp:posOffset>
                </wp:positionH>
                <wp:positionV relativeFrom="paragraph">
                  <wp:posOffset>-116205</wp:posOffset>
                </wp:positionV>
                <wp:extent cx="5974715" cy="31115"/>
                <wp:effectExtent l="0" t="0" r="0" b="0"/>
                <wp:wrapNone/>
                <wp:docPr id="3" name="Forma5"/>
                <a:graphic xmlns:a="http://schemas.openxmlformats.org/drawingml/2006/main">
                  <a:graphicData uri="http://schemas.microsoft.com/office/word/2010/wordprocessingShape">
                    <wps:wsp>
                      <wps:cNvSpPr/>
                      <wps:spPr>
                        <a:xfrm flipV="1">
                          <a:off x="0" y="0"/>
                          <a:ext cx="5974200" cy="28080"/>
                        </a:xfrm>
                        <a:prstGeom prst="line">
                          <a:avLst/>
                        </a:prstGeom>
                        <a:ln w="36360">
                          <a:solidFill>
                            <a:srgbClr val="2a6099"/>
                          </a:solidFill>
                          <a:round/>
                        </a:ln>
                      </wps:spPr>
                      <wps:style>
                        <a:lnRef idx="0"/>
                        <a:fillRef idx="0"/>
                        <a:effectRef idx="0"/>
                        <a:fontRef idx="minor"/>
                      </wps:style>
                      <wps:bodyPr/>
                    </wps:wsp>
                  </a:graphicData>
                </a:graphic>
              </wp:anchor>
            </w:drawing>
          </mc:Choice>
          <mc:Fallback>
            <w:pict>
              <v:line id="shape_0" from="3.05pt,-9.15pt" to="473.4pt,-7pt" ID="Forma5" stroked="t" style="position:absolute;flip:y">
                <v:stroke color="#2a6099" weight="36360" joinstyle="round" endcap="flat"/>
                <v:fill o:detectmouseclick="t" on="false"/>
              </v:line>
            </w:pict>
          </mc:Fallback>
        </mc:AlternateContent>
      </w:r>
      <w:r>
        <w:rPr>
          <w:color w:val="000000"/>
          <w:sz w:val="24"/>
          <w:szCs w:val="24"/>
        </w:rPr>
        <w:t>Arquitectos Software Senior (ASS):</w:t>
      </w:r>
    </w:p>
    <w:p>
      <w:pPr>
        <w:pStyle w:val="Contenido"/>
        <w:rPr>
          <w:color w:val="000000"/>
          <w:sz w:val="24"/>
          <w:szCs w:val="24"/>
        </w:rPr>
      </w:pPr>
      <w:r>
        <w:rPr>
          <w:color w:val="000000"/>
          <w:sz w:val="24"/>
          <w:szCs w:val="24"/>
        </w:rPr>
      </w:r>
    </w:p>
    <w:p>
      <w:pPr>
        <w:pStyle w:val="Contenido"/>
        <w:numPr>
          <w:ilvl w:val="0"/>
          <w:numId w:val="3"/>
        </w:numPr>
        <w:rPr>
          <w:color w:val="000000"/>
          <w:sz w:val="24"/>
          <w:szCs w:val="24"/>
        </w:rPr>
      </w:pPr>
      <w:r>
        <w:rPr>
          <w:color w:val="000000"/>
          <w:sz w:val="24"/>
          <w:szCs w:val="24"/>
        </w:rPr>
        <w:t>Rodrigo Marqués Buil</w:t>
      </w:r>
    </w:p>
    <w:p>
      <w:pPr>
        <w:pStyle w:val="Contenido"/>
        <w:numPr>
          <w:ilvl w:val="0"/>
          <w:numId w:val="3"/>
        </w:numPr>
        <w:rPr>
          <w:color w:val="000000"/>
          <w:sz w:val="24"/>
          <w:szCs w:val="24"/>
        </w:rPr>
      </w:pPr>
      <w:r>
        <w:rPr>
          <w:color w:val="000000"/>
          <w:sz w:val="24"/>
          <w:szCs w:val="24"/>
        </w:rPr>
        <w:t>Enrique Martín Santorcaz</w:t>
      </w:r>
    </w:p>
    <w:p>
      <w:pPr>
        <w:pStyle w:val="Contenido"/>
        <w:numPr>
          <w:ilvl w:val="0"/>
          <w:numId w:val="0"/>
        </w:numPr>
        <w:ind w:left="720" w:hanging="0"/>
        <w:rPr>
          <w:color w:val="000000"/>
          <w:sz w:val="24"/>
          <w:szCs w:val="24"/>
        </w:rPr>
      </w:pPr>
      <w:r>
        <w:rPr>
          <w:color w:val="000000"/>
          <w:sz w:val="24"/>
          <w:szCs w:val="24"/>
        </w:rPr>
      </w:r>
    </w:p>
    <w:p>
      <w:pPr>
        <w:pStyle w:val="Contenido"/>
        <w:rPr>
          <w:color w:val="000000"/>
          <w:sz w:val="24"/>
          <w:szCs w:val="24"/>
        </w:rPr>
      </w:pPr>
      <w:r>
        <w:rPr>
          <w:color w:val="000000"/>
          <w:sz w:val="24"/>
          <w:szCs w:val="24"/>
        </w:rPr>
        <w:t>Arquitectos Software Junior (ASJ):</w:t>
      </w:r>
    </w:p>
    <w:p>
      <w:pPr>
        <w:pStyle w:val="Contenido"/>
        <w:rPr>
          <w:color w:val="000000"/>
          <w:sz w:val="24"/>
          <w:szCs w:val="24"/>
        </w:rPr>
      </w:pPr>
      <w:r>
        <w:rPr>
          <w:color w:val="000000"/>
          <w:sz w:val="24"/>
          <w:szCs w:val="24"/>
        </w:rPr>
      </w:r>
    </w:p>
    <w:p>
      <w:pPr>
        <w:pStyle w:val="Contenido"/>
        <w:numPr>
          <w:ilvl w:val="0"/>
          <w:numId w:val="4"/>
        </w:numPr>
        <w:rPr>
          <w:color w:val="000000"/>
          <w:sz w:val="24"/>
          <w:szCs w:val="24"/>
        </w:rPr>
      </w:pPr>
      <w:r>
        <w:rPr>
          <w:color w:val="000000"/>
          <w:sz w:val="24"/>
          <w:szCs w:val="24"/>
        </w:rPr>
        <w:t>Iván Sánchez Labrador</w:t>
      </w:r>
    </w:p>
    <w:p>
      <w:pPr>
        <w:pStyle w:val="Contenido"/>
        <w:numPr>
          <w:ilvl w:val="0"/>
          <w:numId w:val="0"/>
        </w:numPr>
        <w:ind w:left="720" w:hanging="0"/>
        <w:rPr>
          <w:color w:val="000000"/>
          <w:sz w:val="24"/>
          <w:szCs w:val="24"/>
        </w:rPr>
      </w:pPr>
      <w:r>
        <w:rPr>
          <w:color w:val="000000"/>
          <w:sz w:val="24"/>
          <w:szCs w:val="24"/>
        </w:rPr>
      </w:r>
    </w:p>
    <w:p>
      <w:pPr>
        <w:pStyle w:val="Contenido"/>
        <w:rPr>
          <w:color w:val="000000"/>
          <w:sz w:val="24"/>
          <w:szCs w:val="24"/>
        </w:rPr>
      </w:pPr>
      <w:r>
        <w:rPr>
          <w:color w:val="000000"/>
          <w:sz w:val="24"/>
          <w:szCs w:val="24"/>
        </w:rPr>
        <w:t>Arquitectos Software Cognitivos (ASC):</w:t>
      </w:r>
    </w:p>
    <w:p>
      <w:pPr>
        <w:pStyle w:val="Contenido"/>
        <w:rPr>
          <w:color w:val="000000"/>
          <w:sz w:val="24"/>
          <w:szCs w:val="24"/>
        </w:rPr>
      </w:pPr>
      <w:r>
        <w:rPr>
          <w:color w:val="000000"/>
          <w:sz w:val="24"/>
          <w:szCs w:val="24"/>
        </w:rPr>
      </w:r>
    </w:p>
    <w:p>
      <w:pPr>
        <w:pStyle w:val="Contenido"/>
        <w:numPr>
          <w:ilvl w:val="0"/>
          <w:numId w:val="5"/>
        </w:numPr>
        <w:rPr>
          <w:color w:val="000000"/>
          <w:sz w:val="24"/>
          <w:szCs w:val="24"/>
        </w:rPr>
      </w:pPr>
      <w:r>
        <w:rPr>
          <w:color w:val="000000"/>
          <w:sz w:val="24"/>
          <w:szCs w:val="24"/>
        </w:rPr>
        <w:t>Hugo Coto González</w:t>
      </w:r>
    </w:p>
    <w:p>
      <w:pPr>
        <w:pStyle w:val="Contenido"/>
        <w:numPr>
          <w:ilvl w:val="0"/>
          <w:numId w:val="5"/>
        </w:numPr>
        <w:rPr>
          <w:color w:val="000000"/>
          <w:sz w:val="24"/>
          <w:szCs w:val="24"/>
        </w:rPr>
      </w:pPr>
      <w:r>
        <w:rPr>
          <w:color w:val="000000"/>
          <w:sz w:val="24"/>
          <w:szCs w:val="24"/>
        </w:rPr>
        <w:t>Alberto García Sroda</w:t>
      </w:r>
    </w:p>
    <w:p>
      <w:pPr>
        <w:pStyle w:val="Contenido"/>
        <w:numPr>
          <w:ilvl w:val="0"/>
          <w:numId w:val="0"/>
        </w:numPr>
        <w:ind w:left="720" w:hanging="0"/>
        <w:rPr>
          <w:color w:val="000000"/>
          <w:sz w:val="22"/>
          <w:szCs w:val="22"/>
        </w:rPr>
      </w:pPr>
      <w:r>
        <w:rPr>
          <w:color w:val="000000"/>
          <w:sz w:val="22"/>
          <w:szCs w:val="22"/>
        </w:rPr>
      </w:r>
    </w:p>
    <w:p>
      <w:pPr>
        <w:pStyle w:val="Contenido"/>
        <w:rPr>
          <w:color w:val="000000"/>
          <w:sz w:val="22"/>
          <w:szCs w:val="22"/>
        </w:rPr>
      </w:pPr>
      <w:r>
        <w:rPr>
          <w:color w:val="000000"/>
          <w:sz w:val="22"/>
          <w:szCs w:val="22"/>
        </w:rPr>
      </w:r>
    </w:p>
    <w:p>
      <w:pPr>
        <w:pStyle w:val="Ttulo2"/>
        <w:rPr>
          <w:color w:val="3465A4"/>
        </w:rPr>
      </w:pPr>
      <w:r>
        <w:rPr>
          <w:color w:val="3465A4"/>
        </w:rPr>
        <w:t>2. Introducción</w:t>
      </w:r>
    </w:p>
    <w:p>
      <w:pPr>
        <w:pStyle w:val="Contenido"/>
        <w:rPr>
          <w:color w:val="000000"/>
          <w:sz w:val="24"/>
          <w:szCs w:val="24"/>
        </w:rPr>
      </w:pPr>
      <w:r>
        <mc:AlternateContent>
          <mc:Choice Requires="wps">
            <w:drawing>
              <wp:anchor behindDoc="0" distT="0" distB="0" distL="0" distR="0" simplePos="0" locked="0" layoutInCell="1" allowOverlap="1" relativeHeight="6">
                <wp:simplePos x="0" y="0"/>
                <wp:positionH relativeFrom="column">
                  <wp:posOffset>38735</wp:posOffset>
                </wp:positionH>
                <wp:positionV relativeFrom="paragraph">
                  <wp:posOffset>-116205</wp:posOffset>
                </wp:positionV>
                <wp:extent cx="5974715" cy="31115"/>
                <wp:effectExtent l="0" t="0" r="0" b="0"/>
                <wp:wrapNone/>
                <wp:docPr id="4" name="Forma5_0"/>
                <a:graphic xmlns:a="http://schemas.openxmlformats.org/drawingml/2006/main">
                  <a:graphicData uri="http://schemas.microsoft.com/office/word/2010/wordprocessingShape">
                    <wps:wsp>
                      <wps:cNvSpPr/>
                      <wps:spPr>
                        <a:xfrm flipV="1">
                          <a:off x="0" y="0"/>
                          <a:ext cx="5974200" cy="28080"/>
                        </a:xfrm>
                        <a:prstGeom prst="line">
                          <a:avLst/>
                        </a:prstGeom>
                        <a:ln w="36360">
                          <a:solidFill>
                            <a:srgbClr val="2a6099"/>
                          </a:solidFill>
                          <a:round/>
                        </a:ln>
                      </wps:spPr>
                      <wps:style>
                        <a:lnRef idx="0"/>
                        <a:fillRef idx="0"/>
                        <a:effectRef idx="0"/>
                        <a:fontRef idx="minor"/>
                      </wps:style>
                      <wps:bodyPr/>
                    </wps:wsp>
                  </a:graphicData>
                </a:graphic>
              </wp:anchor>
            </w:drawing>
          </mc:Choice>
          <mc:Fallback>
            <w:pict>
              <v:line id="shape_0" from="3.05pt,-9.15pt" to="473.4pt,-7pt" ID="Forma5_0" stroked="t" style="position:absolute;flip:y">
                <v:stroke color="#2a6099" weight="36360" joinstyle="round" endcap="flat"/>
                <v:fill o:detectmouseclick="t" on="false"/>
              </v:line>
            </w:pict>
          </mc:Fallback>
        </mc:AlternateContent>
      </w:r>
      <w:r>
        <w:rPr>
          <w:color w:val="000000"/>
          <w:sz w:val="24"/>
          <w:szCs w:val="24"/>
        </w:rPr>
        <w:t>El objetivo de esta práctica es realizar el diseño de una tienda virtual basada en una arquitectura Web de tres capas y se desea migrar a una arquitectura de microservicios.</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Semana a semana desarrollaremos los objetivos propuestos buscando un desarrollo incremental en nuestro trabajo, que nos de pie a poner en práctica de manera ordenada los puntos que se expondrán a continuación.</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Se pondrán en práctica las nociones de diseño aprendidas durante el desarrollo de la asignatura, que darán como resultado un diseño capaz de dar respuesta a todos los requisitos funcionales capturados de las peticiones y descripción del cliente de lo que espera que sea el producto a recibir.</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Será en estos términos que tomaremos las decisiones de diseño en cuánto a patrones y arquitecturas que consideremos apropiadas dado el ámbito y las condiciones del proyecto. Dichas decisiones serán recogidas y documentadas en el debido formato de cara a una mejor legibilidad y estructuración de las mismas.</w:t>
      </w:r>
    </w:p>
    <w:p>
      <w:pPr>
        <w:pStyle w:val="Contenido"/>
        <w:rPr>
          <w:color w:val="000000"/>
          <w:sz w:val="24"/>
          <w:szCs w:val="24"/>
        </w:rPr>
      </w:pPr>
      <w:r>
        <w:rPr>
          <w:color w:val="000000"/>
          <w:sz w:val="24"/>
          <w:szCs w:val="24"/>
        </w:rPr>
      </w:r>
    </w:p>
    <w:p>
      <w:pPr>
        <w:pStyle w:val="Contenido"/>
        <w:rPr>
          <w:color w:val="000000"/>
          <w:sz w:val="24"/>
          <w:szCs w:val="24"/>
        </w:rPr>
      </w:pPr>
      <w:r>
        <w:rPr>
          <w:color w:val="000000"/>
          <w:sz w:val="24"/>
          <w:szCs w:val="24"/>
        </w:rPr>
        <w:t>Cada decisión tomada tendrá su reflejo en el correspondiente diagrama que conformará el marco general de nuestro diseño, y de este modo, a través de la interrelación entre las arquitecturas y los patrones seleccionamos  obtendremos una visión clara de nuestra solución.</w:t>
      </w:r>
    </w:p>
    <w:p>
      <w:pPr>
        <w:pStyle w:val="Contenido"/>
        <w:rPr>
          <w:color w:val="000000"/>
          <w:sz w:val="24"/>
          <w:szCs w:val="24"/>
        </w:rPr>
      </w:pPr>
      <w:r>
        <w:rPr>
          <w:color w:val="000000"/>
          <w:sz w:val="24"/>
          <w:szCs w:val="24"/>
        </w:rPr>
      </w:r>
    </w:p>
    <w:p>
      <w:pPr>
        <w:pStyle w:val="Ttulo2"/>
        <w:rPr/>
      </w:pPr>
      <w:r>
        <w:rPr/>
        <w:t>3. Resultado Iteraciones</w:t>
      </w:r>
    </w:p>
    <w:p>
      <w:pPr>
        <w:pStyle w:val="Ttulo3"/>
        <w:numPr>
          <w:ilvl w:val="2"/>
          <w:numId w:val="2"/>
        </w:numPr>
        <w:rPr>
          <w:color w:val="000000"/>
          <w:sz w:val="30"/>
          <w:szCs w:val="30"/>
        </w:rPr>
      </w:pPr>
      <w:r>
        <mc:AlternateContent>
          <mc:Choice Requires="wps">
            <w:drawing>
              <wp:anchor behindDoc="0" distT="0" distB="0" distL="0" distR="0" simplePos="0" locked="0" layoutInCell="1" allowOverlap="1" relativeHeight="7">
                <wp:simplePos x="0" y="0"/>
                <wp:positionH relativeFrom="column">
                  <wp:posOffset>38735</wp:posOffset>
                </wp:positionH>
                <wp:positionV relativeFrom="paragraph">
                  <wp:posOffset>-116205</wp:posOffset>
                </wp:positionV>
                <wp:extent cx="5974715" cy="31115"/>
                <wp:effectExtent l="0" t="0" r="0" b="0"/>
                <wp:wrapNone/>
                <wp:docPr id="5" name="Forma5_1"/>
                <a:graphic xmlns:a="http://schemas.openxmlformats.org/drawingml/2006/main">
                  <a:graphicData uri="http://schemas.microsoft.com/office/word/2010/wordprocessingShape">
                    <wps:wsp>
                      <wps:cNvSpPr/>
                      <wps:spPr>
                        <a:xfrm flipV="1">
                          <a:off x="0" y="0"/>
                          <a:ext cx="5974200" cy="28080"/>
                        </a:xfrm>
                        <a:prstGeom prst="line">
                          <a:avLst/>
                        </a:prstGeom>
                        <a:ln w="36360">
                          <a:solidFill>
                            <a:srgbClr val="2a6099"/>
                          </a:solidFill>
                          <a:round/>
                        </a:ln>
                      </wps:spPr>
                      <wps:style>
                        <a:lnRef idx="0"/>
                        <a:fillRef idx="0"/>
                        <a:effectRef idx="0"/>
                        <a:fontRef idx="minor"/>
                      </wps:style>
                      <wps:bodyPr/>
                    </wps:wsp>
                  </a:graphicData>
                </a:graphic>
              </wp:anchor>
            </w:drawing>
          </mc:Choice>
          <mc:Fallback>
            <w:pict>
              <v:line id="shape_0" from="3.05pt,-9.15pt" to="473.4pt,-7pt" ID="Forma5_1" stroked="t" style="position:absolute;flip:y">
                <v:stroke color="#2a6099" weight="36360" joinstyle="round" endcap="flat"/>
                <v:fill o:detectmouseclick="t" on="false"/>
              </v:line>
            </w:pict>
          </mc:Fallback>
        </mc:AlternateContent>
      </w:r>
      <w:r>
        <w:rPr>
          <w:color w:val="000000"/>
          <w:sz w:val="30"/>
          <w:szCs w:val="30"/>
        </w:rPr>
        <w:t>Tarea 1: Semana 1</w:t>
      </w:r>
    </w:p>
    <w:p>
      <w:pPr>
        <w:pStyle w:val="Contenido"/>
        <w:rPr>
          <w:color w:val="000000"/>
          <w:sz w:val="24"/>
          <w:szCs w:val="24"/>
        </w:rPr>
      </w:pPr>
      <w:r>
        <w:rPr>
          <w:color w:val="000000"/>
          <w:sz w:val="24"/>
          <w:szCs w:val="24"/>
        </w:rPr>
        <w:t>A continuación, se dispone la tabla con los requisitos funcionales que han sido extraídos del enunciado de la práctica en la Tarea 1: Semana 1:</w:t>
      </w:r>
    </w:p>
    <w:p>
      <w:pPr>
        <w:pStyle w:val="Contenido"/>
        <w:rPr>
          <w:color w:val="000000"/>
          <w:sz w:val="24"/>
          <w:szCs w:val="24"/>
        </w:rPr>
      </w:pPr>
      <w:r>
        <w:rPr>
          <w:color w:val="000000"/>
          <w:sz w:val="24"/>
          <w:szCs w:val="24"/>
        </w:rPr>
      </w:r>
    </w:p>
    <w:tbl>
      <w:tblPr>
        <w:tblW w:w="9602" w:type="dxa"/>
        <w:jc w:val="left"/>
        <w:tblInd w:w="28" w:type="dxa"/>
        <w:tblCellMar>
          <w:top w:w="28" w:type="dxa"/>
          <w:left w:w="28" w:type="dxa"/>
          <w:bottom w:w="28" w:type="dxa"/>
          <w:right w:w="28" w:type="dxa"/>
        </w:tblCellMar>
      </w:tblPr>
      <w:tblGrid>
        <w:gridCol w:w="1017"/>
        <w:gridCol w:w="3570"/>
        <w:gridCol w:w="5015"/>
      </w:tblGrid>
      <w:tr>
        <w:trPr>
          <w:trHeight w:val="374" w:hRule="atLeast"/>
        </w:trPr>
        <w:tc>
          <w:tcPr>
            <w:tcW w:w="1017" w:type="dxa"/>
            <w:tcBorders>
              <w:top w:val="single" w:sz="2" w:space="0" w:color="000000"/>
              <w:left w:val="single" w:sz="2" w:space="0" w:color="000000"/>
              <w:bottom w:val="single" w:sz="2" w:space="0" w:color="000000"/>
            </w:tcBorders>
            <w:shd w:fill="B4C7DC" w:val="clear"/>
            <w:vAlign w:val="center"/>
          </w:tcPr>
          <w:p>
            <w:pPr>
              <w:pStyle w:val="Contenidodelatabla"/>
              <w:spacing w:lineRule="auto" w:line="240" w:before="57" w:after="57"/>
              <w:jc w:val="center"/>
              <w:rPr>
                <w:color w:val="000000"/>
                <w:sz w:val="26"/>
                <w:szCs w:val="26"/>
              </w:rPr>
            </w:pPr>
            <w:r>
              <w:rPr>
                <w:color w:val="000000"/>
                <w:sz w:val="26"/>
                <w:szCs w:val="26"/>
              </w:rPr>
              <w:t>ID</w:t>
            </w:r>
          </w:p>
        </w:tc>
        <w:tc>
          <w:tcPr>
            <w:tcW w:w="3570" w:type="dxa"/>
            <w:tcBorders>
              <w:top w:val="single" w:sz="2" w:space="0" w:color="000000"/>
              <w:left w:val="single" w:sz="2" w:space="0" w:color="000000"/>
              <w:bottom w:val="single" w:sz="2" w:space="0" w:color="000000"/>
            </w:tcBorders>
            <w:shd w:fill="B4C7DC" w:val="clear"/>
            <w:vAlign w:val="center"/>
          </w:tcPr>
          <w:p>
            <w:pPr>
              <w:pStyle w:val="Contenidodelatabla"/>
              <w:spacing w:lineRule="auto" w:line="240" w:before="57" w:after="57"/>
              <w:jc w:val="center"/>
              <w:rPr>
                <w:color w:val="000000"/>
                <w:sz w:val="26"/>
                <w:szCs w:val="26"/>
              </w:rPr>
            </w:pPr>
            <w:r>
              <w:rPr>
                <w:color w:val="000000"/>
                <w:sz w:val="26"/>
                <w:szCs w:val="26"/>
              </w:rPr>
              <w:t>Nombre</w:t>
            </w:r>
          </w:p>
        </w:tc>
        <w:tc>
          <w:tcPr>
            <w:tcW w:w="5015" w:type="dxa"/>
            <w:tcBorders>
              <w:top w:val="single" w:sz="2" w:space="0" w:color="000000"/>
              <w:left w:val="single" w:sz="2" w:space="0" w:color="000000"/>
              <w:bottom w:val="single" w:sz="2" w:space="0" w:color="000000"/>
              <w:right w:val="single" w:sz="2" w:space="0" w:color="000000"/>
            </w:tcBorders>
            <w:shd w:fill="B4C7DC" w:val="clear"/>
            <w:vAlign w:val="center"/>
          </w:tcPr>
          <w:p>
            <w:pPr>
              <w:pStyle w:val="Contenidodelatabla"/>
              <w:spacing w:lineRule="auto" w:line="240" w:before="57" w:after="57"/>
              <w:jc w:val="center"/>
              <w:rPr>
                <w:color w:val="000000"/>
                <w:sz w:val="26"/>
                <w:szCs w:val="26"/>
              </w:rPr>
            </w:pPr>
            <w:r>
              <w:rPr>
                <w:color w:val="000000"/>
                <w:sz w:val="26"/>
                <w:szCs w:val="26"/>
              </w:rPr>
              <w:t>Descripción</w:t>
            </w:r>
          </w:p>
        </w:tc>
      </w:tr>
      <w:tr>
        <w:trPr>
          <w:trHeight w:val="374" w:hRule="atLeast"/>
        </w:trPr>
        <w:tc>
          <w:tcPr>
            <w:tcW w:w="1017"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w:t>
            </w:r>
          </w:p>
        </w:tc>
        <w:tc>
          <w:tcPr>
            <w:tcW w:w="3570"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Elección de arquitectura</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la elección de la arquitectura a tomar para el cliente.</w:t>
            </w:r>
          </w:p>
        </w:tc>
      </w:tr>
      <w:tr>
        <w:trPr>
          <w:trHeight w:val="374" w:hRule="atLeast"/>
        </w:trPr>
        <w:tc>
          <w:tcPr>
            <w:tcW w:w="1017"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RF1.1</w:t>
            </w:r>
          </w:p>
        </w:tc>
        <w:tc>
          <w:tcPr>
            <w:tcW w:w="3570"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Arquitectura de microservicios</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toma la Arquitectura basada en Microservicios como elección en el proyecto.</w:t>
            </w:r>
          </w:p>
        </w:tc>
      </w:tr>
      <w:tr>
        <w:trPr>
          <w:trHeight w:val="374" w:hRule="atLeast"/>
        </w:trPr>
        <w:tc>
          <w:tcPr>
            <w:tcW w:w="1017"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RF1.2</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Migración de la antigua arquitectura a la nueva</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migrará todos los módulos de la aplicación para que estén basados en una arquitectura por microservicios.</w:t>
            </w:r>
          </w:p>
        </w:tc>
      </w:tr>
      <w:tr>
        <w:trPr>
          <w:trHeight w:val="374" w:hRule="atLeast"/>
        </w:trPr>
        <w:tc>
          <w:tcPr>
            <w:tcW w:w="1017"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RF1.3</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Mejorar la flexibilidad y escalabilidad</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Realizar una optimización en la bases de datos y realizar buenas praxis en la utilización de la arquitectura.</w:t>
            </w:r>
          </w:p>
        </w:tc>
      </w:tr>
      <w:tr>
        <w:trPr>
          <w:trHeight w:val="374" w:hRule="atLeast"/>
        </w:trPr>
        <w:tc>
          <w:tcPr>
            <w:tcW w:w="1017" w:type="dxa"/>
            <w:tcBorders>
              <w:left w:val="single" w:sz="2" w:space="0" w:color="000000"/>
              <w:bottom w:val="single" w:sz="2" w:space="0" w:color="000000"/>
            </w:tcBorders>
            <w:vAlign w:val="center"/>
          </w:tcPr>
          <w:p>
            <w:pPr>
              <w:pStyle w:val="Contenidodelatabla"/>
              <w:spacing w:before="114" w:after="114"/>
              <w:jc w:val="center"/>
              <w:rPr>
                <w:b w:val="false"/>
                <w:b w:val="false"/>
                <w:bCs w:val="false"/>
                <w:color w:val="000000"/>
                <w:sz w:val="21"/>
                <w:szCs w:val="21"/>
              </w:rPr>
            </w:pPr>
            <w:r>
              <w:rPr>
                <w:b w:val="false"/>
                <w:bCs w:val="false"/>
                <w:color w:val="000000"/>
                <w:sz w:val="21"/>
                <w:szCs w:val="21"/>
              </w:rPr>
              <w:t>RF2</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Componentes de presentación</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Responsables de la parte cliente.</w:t>
            </w:r>
          </w:p>
        </w:tc>
      </w:tr>
      <w:tr>
        <w:trPr>
          <w:trHeight w:val="374" w:hRule="atLeast"/>
        </w:trPr>
        <w:tc>
          <w:tcPr>
            <w:tcW w:w="1017"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RF2.1</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Control de interfaz de usuario</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como se controla la interfaz de usuario.</w:t>
            </w:r>
          </w:p>
        </w:tc>
      </w:tr>
      <w:tr>
        <w:trPr>
          <w:trHeight w:val="374" w:hRule="atLeast"/>
        </w:trPr>
        <w:tc>
          <w:tcPr>
            <w:tcW w:w="1017"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RF2.2</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Consumo de servicios remotos</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como controlar el consumo de servicios remotos.</w:t>
            </w:r>
          </w:p>
        </w:tc>
      </w:tr>
      <w:tr>
        <w:trPr>
          <w:trHeight w:val="374" w:hRule="atLeast"/>
        </w:trPr>
        <w:tc>
          <w:tcPr>
            <w:tcW w:w="1017"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RF3</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Componentes lógica de negocio</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Responsable de la funcionalidad de la aplicación.</w:t>
            </w:r>
          </w:p>
        </w:tc>
      </w:tr>
      <w:tr>
        <w:trPr>
          <w:trHeight w:val="374" w:hRule="atLeast"/>
        </w:trPr>
        <w:tc>
          <w:tcPr>
            <w:tcW w:w="1017"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RF3.1</w:t>
            </w:r>
          </w:p>
        </w:tc>
        <w:tc>
          <w:tcPr>
            <w:tcW w:w="3570" w:type="dxa"/>
            <w:tcBorders>
              <w:left w:val="single" w:sz="2" w:space="0" w:color="000000"/>
              <w:bottom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Módulo de pedidos y compras</w:t>
            </w:r>
          </w:p>
        </w:tc>
        <w:tc>
          <w:tcPr>
            <w:tcW w:w="5015" w:type="dxa"/>
            <w:tcBorders>
              <w:left w:val="single" w:sz="2" w:space="0" w:color="000000"/>
              <w:bottom w:val="single" w:sz="2" w:space="0" w:color="000000"/>
              <w:right w:val="single" w:sz="2" w:space="0" w:color="000000"/>
            </w:tcBorders>
            <w:vAlign w:val="center"/>
          </w:tcPr>
          <w:p>
            <w:pPr>
              <w:pStyle w:val="Normal"/>
              <w:spacing w:before="114" w:after="114"/>
              <w:jc w:val="center"/>
              <w:rPr>
                <w:b w:val="false"/>
                <w:b w:val="false"/>
                <w:bCs w:val="false"/>
                <w:color w:val="000000"/>
                <w:sz w:val="21"/>
                <w:szCs w:val="21"/>
              </w:rPr>
            </w:pPr>
            <w:r>
              <w:rPr>
                <w:b w:val="false"/>
                <w:bCs w:val="false"/>
                <w:i w:val="false"/>
                <w:strike w:val="false"/>
                <w:dstrike w:val="false"/>
                <w:outline w:val="false"/>
                <w:shadow w:val="false"/>
                <w:color w:val="000000"/>
                <w:sz w:val="22"/>
                <w:szCs w:val="21"/>
                <w:u w:val="none"/>
                <w:em w:val="none"/>
              </w:rPr>
              <w:t>Se indicará cómo realizar las compras y pedidos para usuario.</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RF3.2</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detección de preferencias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la información necesaria y trata correcta de la información de preferencias.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RF3.3</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conexión a sistemas de pago</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de que forma se realizarán los pagos y con que medios.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RF3.4</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mensajería a dispositivos móviles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la forma de la mensajería a dispositivos móviles.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RF3.5</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seguridad en compras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la seguridad en la que se basa la arquitectura.</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RF3.6</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Módulo de devoluciones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indicará como se realizaran las devoluciones para clientes.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RF4</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Lógica de acceso a bases de datos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Son los componentes responsables para obtener acceso a las BBDD.</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RF5</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Sistema de mensajería por middelware independiente</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Implementación de middleware único para mensajería.</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RF6</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Integración asíncrona de los microservicios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implementará para soportar un mayor numero de compras y preferencias.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RF7</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 xml:space="preserve">Creación nueva base datos </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Se creará para almacenar la localización de los microservicios.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RF8</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Integración bus eventos lógicos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Para una correcta coherencia de los datos entre las distintas BBDD.</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RF9</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Determinar número de contenedores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Limitación de intentos de compra a 5 intentos.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RF10</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Conexión y microservicios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Definición de tipo de conexión a la aplicación y entre microservicios.</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RF10.1</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 xml:space="preserve">Definir vía de conexión </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Conexión a la aplicación.</w:t>
            </w:r>
          </w:p>
        </w:tc>
      </w:tr>
      <w:tr>
        <w:trPr>
          <w:trHeight w:val="374" w:hRule="atLeast"/>
        </w:trPr>
        <w:tc>
          <w:tcPr>
            <w:tcW w:w="1017"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RF10.2</w:t>
            </w:r>
          </w:p>
        </w:tc>
        <w:tc>
          <w:tcPr>
            <w:tcW w:w="3570" w:type="dxa"/>
            <w:tcBorders>
              <w:left w:val="single" w:sz="2" w:space="0" w:color="000000"/>
              <w:bottom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Definir comunicación y monitorización de los microservicios</w:t>
            </w:r>
          </w:p>
        </w:tc>
        <w:tc>
          <w:tcPr>
            <w:tcW w:w="5015" w:type="dxa"/>
            <w:tcBorders>
              <w:left w:val="single" w:sz="2" w:space="0" w:color="000000"/>
              <w:bottom w:val="single" w:sz="2" w:space="0" w:color="000000"/>
              <w:right w:val="single" w:sz="2"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Conexión y monitorización de los microservicios.</w:t>
            </w:r>
          </w:p>
        </w:tc>
      </w:tr>
    </w:tbl>
    <w:p>
      <w:pPr>
        <w:pStyle w:val="Contenido"/>
        <w:rPr>
          <w:i/>
          <w:i/>
          <w:iCs/>
          <w:color w:val="000000"/>
          <w:sz w:val="20"/>
          <w:szCs w:val="20"/>
        </w:rPr>
      </w:pPr>
      <w:r>
        <w:rPr>
          <w:i/>
          <w:iCs/>
          <w:color w:val="000000"/>
          <w:sz w:val="20"/>
          <w:szCs w:val="20"/>
        </w:rPr>
        <w:t>(Tabla de requisitos)</w:t>
      </w:r>
    </w:p>
    <w:p>
      <w:pPr>
        <w:pStyle w:val="Contenido"/>
        <w:rPr>
          <w:color w:val="000000"/>
          <w:sz w:val="24"/>
          <w:szCs w:val="24"/>
        </w:rPr>
      </w:pPr>
      <w:r>
        <w:rPr>
          <w:color w:val="000000"/>
          <w:sz w:val="24"/>
          <w:szCs w:val="24"/>
        </w:rPr>
      </w:r>
    </w:p>
    <w:p>
      <w:pPr>
        <w:pStyle w:val="Contenido"/>
        <w:rPr>
          <w:rFonts w:ascii="Liberation Sans" w:hAnsi="Liberation Sans" w:eastAsia="Noto Sans CJK SC" w:cs="Lohit Devanagari"/>
          <w:b/>
          <w:b/>
          <w:bCs/>
          <w:color w:val="000000"/>
          <w:kern w:val="0"/>
          <w:sz w:val="30"/>
          <w:szCs w:val="30"/>
          <w:lang w:val="es-ES" w:eastAsia="en-US" w:bidi="ar-SA"/>
        </w:rPr>
      </w:pPr>
      <w:r>
        <w:rPr>
          <w:rFonts w:eastAsia="Noto Sans CJK SC" w:cs="Lohit Devanagari" w:ascii="Liberation Sans" w:hAnsi="Liberation Sans"/>
          <w:b/>
          <w:bCs/>
          <w:color w:val="000000"/>
          <w:kern w:val="0"/>
          <w:sz w:val="30"/>
          <w:szCs w:val="30"/>
          <w:lang w:val="es-ES" w:eastAsia="en-US" w:bidi="ar-SA"/>
        </w:rPr>
        <w:t>Tarea 2: Semana 2</w:t>
      </w:r>
    </w:p>
    <w:p>
      <w:pPr>
        <w:pStyle w:val="Contenido"/>
        <w:rPr>
          <w:rFonts w:ascii="Calibri" w:hAnsi="Calibri" w:eastAsia="Noto Sans CJK SC" w:cs="Lohit Devanagari"/>
          <w:b/>
          <w:b/>
          <w:bCs/>
          <w:color w:val="000000"/>
          <w:kern w:val="0"/>
          <w:sz w:val="24"/>
          <w:szCs w:val="24"/>
          <w:lang w:val="es-ES" w:eastAsia="en-US" w:bidi="ar-SA"/>
        </w:rPr>
      </w:pPr>
      <w:r>
        <w:rPr>
          <w:rFonts w:eastAsia="Noto Sans CJK SC" w:cs="Lohit Devanagari"/>
          <w:b/>
          <w:bCs/>
          <w:color w:val="000000"/>
          <w:kern w:val="0"/>
          <w:sz w:val="24"/>
          <w:szCs w:val="24"/>
          <w:lang w:val="es-ES" w:eastAsia="en-US" w:bidi="ar-SA"/>
        </w:rPr>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t>En esta segunda semana, empezamos a tomar las decisiones de diseño en función a los requisitos funcionales que habíamos extraído la semana anterior. Primeramente, comenzamos por decidir qué tipo de arquitectura iba a ser la principal.</w:t>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t>La arquitectura principal de este producto, es una arquitectura de microservicios, ya que es la demanda que el cliente ha solicitado expresamente para mejorar la flexibilidady escalabilidad del sistema que se quiere migrar desde una arquitectura Web de tres capas.</w:t>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b w:val="false"/>
          <w:bCs w:val="false"/>
          <w:color w:val="000000"/>
          <w:kern w:val="0"/>
          <w:sz w:val="24"/>
          <w:szCs w:val="24"/>
          <w:lang w:val="es-ES" w:eastAsia="en-US" w:bidi="ar-SA"/>
        </w:rPr>
      </w:r>
    </w:p>
    <w:tbl>
      <w:tblPr>
        <w:tblW w:w="9602" w:type="dxa"/>
        <w:jc w:val="left"/>
        <w:tblInd w:w="55" w:type="dxa"/>
        <w:tblCellMar>
          <w:top w:w="55" w:type="dxa"/>
          <w:left w:w="55" w:type="dxa"/>
          <w:bottom w:w="55" w:type="dxa"/>
          <w:right w:w="55" w:type="dxa"/>
        </w:tblCellMar>
      </w:tblPr>
      <w:tblGrid>
        <w:gridCol w:w="3570"/>
        <w:gridCol w:w="6031"/>
      </w:tblGrid>
      <w:tr>
        <w:trPr/>
        <w:tc>
          <w:tcPr>
            <w:tcW w:w="3570" w:type="dxa"/>
            <w:tcBorders>
              <w:top w:val="single" w:sz="4" w:space="0" w:color="000000"/>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Título de la decisión</w:t>
            </w:r>
          </w:p>
        </w:tc>
        <w:tc>
          <w:tcPr>
            <w:tcW w:w="6031"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Arquitectura de microservicios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ID</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ADD-00</w:t>
            </w:r>
            <w:r>
              <w:rPr>
                <w:b w:val="false"/>
                <w:bCs w:val="false"/>
                <w:color w:val="000000"/>
                <w:sz w:val="22"/>
                <w:szCs w:val="22"/>
              </w:rPr>
              <w:t>0</w:t>
            </w:r>
            <w:r>
              <w:rPr>
                <w:b w:val="false"/>
                <w:bCs w:val="false"/>
                <w:color w:val="000000"/>
                <w:sz w:val="22"/>
                <w:szCs w:val="22"/>
              </w:rPr>
              <w:t>1</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Fecha</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30-10-2021 (último update)</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Creadores</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Enrique Martín S. &amp; Rodrigo Marqués Buil</w:t>
            </w:r>
          </w:p>
        </w:tc>
      </w:tr>
      <w:tr>
        <w:trPr/>
        <w:tc>
          <w:tcPr>
            <w:tcW w:w="3570" w:type="dxa"/>
            <w:tcBorders>
              <w:left w:val="single" w:sz="4" w:space="0" w:color="000000"/>
              <w:bottom w:val="single" w:sz="4" w:space="0" w:color="000000"/>
            </w:tcBorders>
            <w:vAlign w:val="center"/>
          </w:tcPr>
          <w:p>
            <w:pPr>
              <w:pStyle w:val="Contenidodelatabla"/>
              <w:jc w:val="left"/>
              <w:rPr>
                <w:i/>
                <w:i/>
                <w:iCs/>
                <w:color w:val="000000"/>
                <w:sz w:val="24"/>
                <w:szCs w:val="24"/>
              </w:rPr>
            </w:pPr>
            <w:r>
              <w:rPr>
                <w:i/>
                <w:iCs/>
                <w:color w:val="000000"/>
                <w:sz w:val="24"/>
                <w:szCs w:val="24"/>
              </w:rPr>
              <w:t>ASC</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4"/>
                <w:szCs w:val="24"/>
              </w:rPr>
            </w:pPr>
            <w:r>
              <w:rPr>
                <w:b w:val="false"/>
                <w:bCs w:val="false"/>
                <w:color w:val="000000"/>
                <w:sz w:val="24"/>
                <w:szCs w:val="24"/>
              </w:rPr>
              <w:t>Hugo Coto G.</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Estado</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Aceptada</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Requisitos (directrices de decisión)</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 “Elección de arquitectura”</w:t>
            </w:r>
          </w:p>
          <w:p>
            <w:pPr>
              <w:pStyle w:val="Contenidodelatabla"/>
              <w:jc w:val="center"/>
              <w:rPr>
                <w:b w:val="false"/>
                <w:b w:val="false"/>
                <w:bCs w:val="false"/>
                <w:color w:val="000000"/>
                <w:sz w:val="22"/>
                <w:szCs w:val="22"/>
              </w:rPr>
            </w:pPr>
            <w:r>
              <w:rPr>
                <w:b w:val="false"/>
                <w:bCs w:val="false"/>
                <w:color w:val="000000"/>
                <w:sz w:val="22"/>
                <w:szCs w:val="22"/>
              </w:rPr>
              <w:t>RF1.1: “Arquitectura de microservicios”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Decisiones alternativas (opciones)</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Opción 1(única): Arquitectura de microservicios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 xml:space="preserve">Decisión </w:t>
            </w:r>
            <w:r>
              <w:rPr>
                <w:b/>
                <w:bCs/>
                <w:i/>
                <w:iCs/>
                <w:color w:val="000000"/>
                <w:sz w:val="24"/>
                <w:szCs w:val="24"/>
              </w:rPr>
              <w:t xml:space="preserve">final </w:t>
            </w:r>
            <w:r>
              <w:rPr>
                <w:b/>
                <w:bCs/>
                <w:i/>
                <w:iCs/>
                <w:color w:val="000000"/>
                <w:sz w:val="24"/>
                <w:szCs w:val="24"/>
              </w:rPr>
              <w:t>tomada (opción seleccionada)</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Opción 1(única): Arquitectura de microservicios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Consecuencias positivas</w:t>
            </w:r>
          </w:p>
        </w:tc>
        <w:tc>
          <w:tcPr>
            <w:tcW w:w="6031" w:type="dxa"/>
            <w:tcBorders>
              <w:left w:val="single" w:sz="4" w:space="0" w:color="000000"/>
              <w:bottom w:val="single" w:sz="4" w:space="0" w:color="000000"/>
              <w:right w:val="single" w:sz="4" w:space="0" w:color="000000"/>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Opción 1:</w:t>
            </w:r>
          </w:p>
          <w:p>
            <w:pPr>
              <w:pStyle w:val="Contenidodelatabla"/>
              <w:numPr>
                <w:ilvl w:val="1"/>
                <w:numId w:val="6"/>
              </w:numPr>
              <w:jc w:val="left"/>
              <w:rPr>
                <w:b/>
                <w:b/>
                <w:bCs/>
                <w:i w:val="false"/>
                <w:i w:val="false"/>
                <w:iCs w:val="false"/>
                <w:color w:val="000000"/>
                <w:sz w:val="22"/>
                <w:szCs w:val="22"/>
                <w:u w:val="single"/>
              </w:rPr>
            </w:pPr>
            <w:r>
              <w:rPr>
                <w:b/>
                <w:bCs/>
                <w:i w:val="false"/>
                <w:iCs w:val="false"/>
                <w:color w:val="000000"/>
                <w:sz w:val="22"/>
                <w:szCs w:val="22"/>
                <w:u w:val="single"/>
              </w:rPr>
              <w:t>Es el que ha solicitado el cliente</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Mejoras en la flexibilidad</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Mejoras en la escalabilidad</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Menos problemas para el cliente</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Código y mantenimiento más legible</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Facilidad a la hora de aplicar una implementación continua</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Consecuencias negativas</w:t>
            </w:r>
          </w:p>
        </w:tc>
        <w:tc>
          <w:tcPr>
            <w:tcW w:w="6031" w:type="dxa"/>
            <w:tcBorders>
              <w:left w:val="single" w:sz="4" w:space="0" w:color="000000"/>
              <w:bottom w:val="single" w:sz="4" w:space="0" w:color="000000"/>
              <w:right w:val="single" w:sz="4" w:space="0" w:color="000000"/>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Opción 1:</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Posible dificultad a la hora de migrar el sistema</w:t>
            </w:r>
          </w:p>
          <w:p>
            <w:pPr>
              <w:pStyle w:val="Contenidodelatabla"/>
              <w:numPr>
                <w:ilvl w:val="1"/>
                <w:numId w:val="6"/>
              </w:numPr>
              <w:jc w:val="left"/>
              <w:rPr>
                <w:b w:val="false"/>
                <w:b w:val="false"/>
                <w:bCs w:val="false"/>
                <w:color w:val="000000"/>
                <w:sz w:val="22"/>
                <w:szCs w:val="22"/>
              </w:rPr>
            </w:pPr>
            <w:r>
              <w:rPr>
                <w:b w:val="false"/>
                <w:bCs w:val="false"/>
                <w:color w:val="000000"/>
                <w:sz w:val="22"/>
                <w:szCs w:val="22"/>
              </w:rPr>
              <w:t>Tener verificado en la base de datos todos los microservicios del sistema para un mayor control</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Documentación</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https://docs.microsoft.com/es-es/azure/architecture/guide/architecture-styles/microservices</w:t>
            </w:r>
          </w:p>
        </w:tc>
      </w:tr>
    </w:tbl>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Fonts w:eastAsia="Noto Sans CJK SC" w:cs="Lohit Devanagari"/>
          <w:b w:val="false"/>
          <w:bCs w:val="false"/>
          <w:i/>
          <w:iCs/>
          <w:color w:val="000000"/>
          <w:kern w:val="0"/>
          <w:sz w:val="20"/>
          <w:szCs w:val="20"/>
          <w:lang w:val="es-ES" w:eastAsia="en-US" w:bidi="ar-SA"/>
        </w:rPr>
        <w:t>(Tabla ADR-00</w:t>
      </w:r>
      <w:r>
        <w:rPr>
          <w:rFonts w:eastAsia="Noto Sans CJK SC" w:cs="Lohit Devanagari"/>
          <w:b w:val="false"/>
          <w:bCs w:val="false"/>
          <w:i/>
          <w:iCs/>
          <w:color w:val="000000"/>
          <w:kern w:val="0"/>
          <w:sz w:val="20"/>
          <w:szCs w:val="20"/>
          <w:lang w:val="es-ES" w:eastAsia="en-US" w:bidi="ar-SA"/>
        </w:rPr>
        <w:t>0</w:t>
      </w:r>
      <w:r>
        <w:rPr>
          <w:rFonts w:eastAsia="Noto Sans CJK SC" w:cs="Lohit Devanagari"/>
          <w:b w:val="false"/>
          <w:bCs w:val="false"/>
          <w:i/>
          <w:iCs/>
          <w:color w:val="000000"/>
          <w:kern w:val="0"/>
          <w:sz w:val="20"/>
          <w:szCs w:val="20"/>
          <w:lang w:val="es-ES" w:eastAsia="en-US" w:bidi="ar-SA"/>
        </w:rPr>
        <w:t>1)</w:t>
      </w:r>
    </w:p>
    <w:p>
      <w:pPr>
        <w:pStyle w:val="Contenido"/>
        <w:rPr>
          <w:rFonts w:ascii="Liberation Sans" w:hAnsi="Liberation Sans" w:eastAsia="Noto Sans CJK SC" w:cs="Lohit Devanagari"/>
          <w:b/>
          <w:b/>
          <w:bCs/>
          <w:color w:val="000000"/>
          <w:kern w:val="0"/>
          <w:sz w:val="30"/>
          <w:szCs w:val="30"/>
          <w:lang w:val="es-ES" w:eastAsia="en-US" w:bidi="ar-SA"/>
        </w:rPr>
      </w:pPr>
      <w:r>
        <w:rPr>
          <w:rFonts w:eastAsia="Noto Sans CJK SC" w:cs="Lohit Devanagari" w:ascii="Liberation Sans" w:hAnsi="Liberation Sans"/>
          <w:b/>
          <w:bCs/>
          <w:color w:val="000000"/>
          <w:kern w:val="0"/>
          <w:sz w:val="30"/>
          <w:szCs w:val="30"/>
          <w:lang w:val="es-ES" w:eastAsia="en-US" w:bidi="ar-SA"/>
        </w:rPr>
      </w:r>
    </w:p>
    <w:p>
      <w:pPr>
        <w:pStyle w:val="Contenido"/>
        <w:rPr>
          <w:rFonts w:ascii="Liberation Sans" w:hAnsi="Liberation Sans" w:eastAsia="Noto Sans CJK SC" w:cs="Lohit Devanagari"/>
          <w:b/>
          <w:b/>
          <w:bCs/>
          <w:color w:val="000000"/>
          <w:kern w:val="0"/>
          <w:sz w:val="30"/>
          <w:szCs w:val="30"/>
          <w:lang w:val="es-ES" w:eastAsia="en-US" w:bidi="ar-SA"/>
        </w:rPr>
      </w:pPr>
      <w:r>
        <w:rPr>
          <w:rFonts w:eastAsia="Noto Sans CJK SC" w:cs="Lohit Devanagari" w:ascii="Liberation Sans" w:hAnsi="Liberation Sans"/>
          <w:b/>
          <w:bCs/>
          <w:color w:val="000000"/>
          <w:kern w:val="0"/>
          <w:sz w:val="30"/>
          <w:szCs w:val="30"/>
          <w:lang w:val="es-ES" w:eastAsia="en-US" w:bidi="ar-SA"/>
        </w:rPr>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ascii="Calibri" w:hAnsi="Calibri"/>
          <w:b w:val="false"/>
          <w:bCs w:val="false"/>
          <w:color w:val="000000"/>
          <w:kern w:val="0"/>
          <w:sz w:val="24"/>
          <w:szCs w:val="24"/>
          <w:lang w:val="es-ES" w:eastAsia="en-US" w:bidi="ar-SA"/>
        </w:rPr>
        <w:t xml:space="preserve">Aunque esta arquitectura también tiene sus inconvenientes, como pueden ser el gran consumo de recursos que implica, lidiar con la complejidad adicional de los sistemas distribuidos o implementar dependencias de un servicio a otro, la hemos elegido, en primer lugar, porque es la arquitectura que quiere el cliente, y además, facilitan el despliegue, </w:t>
      </w:r>
      <w:r>
        <w:rPr>
          <w:rFonts w:eastAsia="Noto Sans CJK SC" w:cs="Lohit Devanagari" w:ascii="Calibri" w:hAnsi="Calibri"/>
          <w:b w:val="false"/>
          <w:bCs w:val="false"/>
          <w:color w:val="000000"/>
          <w:kern w:val="0"/>
          <w:sz w:val="24"/>
          <w:szCs w:val="24"/>
          <w:lang w:val="es-ES" w:eastAsia="en-US" w:bidi="ar-SA"/>
        </w:rPr>
        <w:t>el mantenimiento y el testeo de los microservicios.</w:t>
      </w:r>
    </w:p>
    <w:p>
      <w:pPr>
        <w:pStyle w:val="Contenido"/>
        <w:rPr>
          <w:rFonts w:ascii="Calibri" w:hAnsi="Calibri" w:eastAsia="Noto Sans CJK SC" w:cs="Lohit Devanagari"/>
          <w:b w:val="false"/>
          <w:b w:val="false"/>
          <w:bCs w:val="false"/>
          <w:color w:val="000000"/>
          <w:kern w:val="0"/>
          <w:sz w:val="24"/>
          <w:szCs w:val="24"/>
          <w:lang w:val="es-ES" w:eastAsia="en-US" w:bidi="ar-SA"/>
        </w:rPr>
      </w:pPr>
      <w:r>
        <w:rPr>
          <w:rFonts w:eastAsia="Noto Sans CJK SC" w:cs="Lohit Devanagari" w:ascii="Calibri" w:hAnsi="Calibri"/>
          <w:b w:val="false"/>
          <w:bCs w:val="false"/>
          <w:color w:val="000000"/>
          <w:kern w:val="0"/>
          <w:sz w:val="24"/>
          <w:szCs w:val="24"/>
          <w:lang w:val="es-ES" w:eastAsia="en-US" w:bidi="ar-SA"/>
        </w:rPr>
      </w:r>
    </w:p>
    <w:p>
      <w:pPr>
        <w:pStyle w:val="Contenido"/>
        <w:rPr>
          <w:rFonts w:ascii="Liberation Sans" w:hAnsi="Liberation Sans" w:eastAsia="Noto Sans CJK SC" w:cs="Lohit Devanagari"/>
          <w:b/>
          <w:b/>
          <w:bCs/>
          <w:color w:val="000000"/>
          <w:kern w:val="0"/>
          <w:sz w:val="30"/>
          <w:szCs w:val="30"/>
          <w:lang w:val="es-ES" w:eastAsia="en-US" w:bidi="ar-SA"/>
        </w:rPr>
      </w:pPr>
      <w:r>
        <w:rPr>
          <w:rFonts w:eastAsia="Noto Sans CJK SC" w:cs="Lohit Devanagari" w:ascii="Liberation Sans" w:hAnsi="Liberation Sans"/>
          <w:b/>
          <w:bCs/>
          <w:color w:val="000000"/>
          <w:kern w:val="0"/>
          <w:sz w:val="30"/>
          <w:szCs w:val="30"/>
          <w:lang w:val="es-ES" w:eastAsia="en-US" w:bidi="ar-SA"/>
        </w:rPr>
      </w:r>
    </w:p>
    <w:tbl>
      <w:tblPr>
        <w:tblW w:w="9602" w:type="dxa"/>
        <w:jc w:val="left"/>
        <w:tblInd w:w="55" w:type="dxa"/>
        <w:tblCellMar>
          <w:top w:w="55" w:type="dxa"/>
          <w:left w:w="55" w:type="dxa"/>
          <w:bottom w:w="55" w:type="dxa"/>
          <w:right w:w="55" w:type="dxa"/>
        </w:tblCellMar>
      </w:tblPr>
      <w:tblGrid>
        <w:gridCol w:w="3570"/>
        <w:gridCol w:w="6031"/>
      </w:tblGrid>
      <w:tr>
        <w:trPr/>
        <w:tc>
          <w:tcPr>
            <w:tcW w:w="3570" w:type="dxa"/>
            <w:tcBorders>
              <w:top w:val="single" w:sz="4" w:space="0" w:color="000000"/>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Título de la decisión</w:t>
            </w:r>
          </w:p>
        </w:tc>
        <w:tc>
          <w:tcPr>
            <w:tcW w:w="6031"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Migración  a nueva arquitectura</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ID</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ADD-00</w:t>
            </w:r>
            <w:r>
              <w:rPr>
                <w:b w:val="false"/>
                <w:bCs w:val="false"/>
                <w:color w:val="000000"/>
                <w:sz w:val="22"/>
                <w:szCs w:val="22"/>
              </w:rPr>
              <w:t>0</w:t>
            </w:r>
            <w:r>
              <w:rPr>
                <w:b w:val="false"/>
                <w:bCs w:val="false"/>
                <w:color w:val="000000"/>
                <w:sz w:val="22"/>
                <w:szCs w:val="22"/>
              </w:rPr>
              <w:t>1</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Fecha</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30-10-2021  | 14-11-2021(revisión)</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Creadores</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Enrique Martín S. &amp; Rodrigo Marqués Buil</w:t>
            </w:r>
          </w:p>
        </w:tc>
      </w:tr>
      <w:tr>
        <w:trPr/>
        <w:tc>
          <w:tcPr>
            <w:tcW w:w="3570" w:type="dxa"/>
            <w:tcBorders>
              <w:left w:val="single" w:sz="4" w:space="0" w:color="000000"/>
              <w:bottom w:val="single" w:sz="4" w:space="0" w:color="000000"/>
            </w:tcBorders>
            <w:vAlign w:val="center"/>
          </w:tcPr>
          <w:p>
            <w:pPr>
              <w:pStyle w:val="Contenidodelatabla"/>
              <w:jc w:val="left"/>
              <w:rPr>
                <w:i/>
                <w:i/>
                <w:iCs/>
                <w:color w:val="000000"/>
                <w:sz w:val="24"/>
                <w:szCs w:val="24"/>
              </w:rPr>
            </w:pPr>
            <w:r>
              <w:rPr>
                <w:i/>
                <w:iCs/>
                <w:color w:val="000000"/>
                <w:sz w:val="24"/>
                <w:szCs w:val="24"/>
              </w:rPr>
              <w:t>ASC</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i/>
                <w:i/>
                <w:iCs/>
                <w:color w:val="000000"/>
                <w:sz w:val="24"/>
                <w:szCs w:val="24"/>
              </w:rPr>
            </w:pPr>
            <w:r>
              <w:rPr>
                <w:b w:val="false"/>
                <w:bCs w:val="false"/>
                <w:i/>
                <w:iCs/>
                <w:color w:val="000000"/>
                <w:sz w:val="24"/>
                <w:szCs w:val="24"/>
              </w:rPr>
              <w:t>- No hay ASC en esta decisión -</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Estado</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t>Aceptada</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Requisitos (directrices de decisión)</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RF1.2: “Migración de la nueva arquitectura”</w:t>
            </w:r>
          </w:p>
          <w:p>
            <w:pPr>
              <w:pStyle w:val="Contenidodelatabla"/>
              <w:jc w:val="center"/>
              <w:rPr>
                <w:b w:val="false"/>
                <w:b w:val="false"/>
                <w:bCs w:val="false"/>
                <w:color w:val="000000"/>
                <w:sz w:val="22"/>
                <w:szCs w:val="22"/>
              </w:rPr>
            </w:pPr>
            <w:r>
              <w:rPr>
                <w:b w:val="false"/>
                <w:bCs w:val="false"/>
                <w:color w:val="000000"/>
                <w:sz w:val="22"/>
                <w:szCs w:val="22"/>
              </w:rPr>
              <w:t>RF1.3: “Mejora de flexibilidad y escalabilidad”</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Decisiones alternativas (opciones)</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 xml:space="preserve">Decisión </w:t>
            </w:r>
            <w:r>
              <w:rPr>
                <w:b/>
                <w:bCs/>
                <w:i/>
                <w:iCs/>
                <w:color w:val="000000"/>
                <w:sz w:val="24"/>
                <w:szCs w:val="24"/>
              </w:rPr>
              <w:t xml:space="preserve">final </w:t>
            </w:r>
            <w:r>
              <w:rPr>
                <w:b/>
                <w:bCs/>
                <w:i/>
                <w:iCs/>
                <w:color w:val="000000"/>
                <w:sz w:val="24"/>
                <w:szCs w:val="24"/>
              </w:rPr>
              <w:t>tomada (opción seleccionada)</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Consecuencias positivas</w:t>
            </w:r>
          </w:p>
        </w:tc>
        <w:tc>
          <w:tcPr>
            <w:tcW w:w="6031" w:type="dxa"/>
            <w:tcBorders>
              <w:left w:val="single" w:sz="4" w:space="0" w:color="000000"/>
              <w:bottom w:val="single" w:sz="4" w:space="0" w:color="000000"/>
              <w:right w:val="single" w:sz="4" w:space="0" w:color="000000"/>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Seguridad en implementación de escalabilidad</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Seguridad en implementación de flexibilidad</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Revisión continua de estas características</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Nivel detallado de estas características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Consecuencias negativas</w:t>
            </w:r>
          </w:p>
        </w:tc>
        <w:tc>
          <w:tcPr>
            <w:tcW w:w="6031" w:type="dxa"/>
            <w:tcBorders>
              <w:left w:val="single" w:sz="4" w:space="0" w:color="000000"/>
              <w:bottom w:val="single" w:sz="4" w:space="0" w:color="000000"/>
              <w:right w:val="single" w:sz="4" w:space="0" w:color="000000"/>
            </w:tcBorders>
            <w:vAlign w:val="center"/>
          </w:tcPr>
          <w:p>
            <w:pPr>
              <w:pStyle w:val="Contenidodelatabla"/>
              <w:numPr>
                <w:ilvl w:val="0"/>
                <w:numId w:val="6"/>
              </w:numPr>
              <w:jc w:val="left"/>
              <w:rPr>
                <w:b w:val="false"/>
                <w:b w:val="false"/>
                <w:bCs w:val="false"/>
                <w:color w:val="000000"/>
                <w:sz w:val="22"/>
                <w:szCs w:val="22"/>
              </w:rPr>
            </w:pPr>
            <w:r>
              <w:rPr>
                <w:b w:val="false"/>
                <w:bCs w:val="false"/>
                <w:color w:val="000000"/>
                <w:sz w:val="22"/>
                <w:szCs w:val="22"/>
              </w:rPr>
              <w:t>No se vislumbra una escalabilidad palpable desde el comienzo del desarrollo de la migración</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Posible pérdida del contacto con estos requisitos durante el desarrollo de la migración</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Documentación</w:t>
            </w:r>
          </w:p>
        </w:tc>
        <w:tc>
          <w:tcPr>
            <w:tcW w:w="6031"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https://docs.microsoft.com/es-es/azure/architecture/guide/architecture-styles/microservices</w:t>
            </w:r>
          </w:p>
        </w:tc>
      </w:tr>
    </w:tbl>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Fonts w:eastAsia="Noto Sans CJK SC" w:cs="Lohit Devanagari"/>
          <w:b w:val="false"/>
          <w:bCs w:val="false"/>
          <w:i/>
          <w:iCs/>
          <w:color w:val="000000"/>
          <w:kern w:val="0"/>
          <w:sz w:val="20"/>
          <w:szCs w:val="20"/>
          <w:lang w:val="es-ES" w:eastAsia="en-US" w:bidi="ar-SA"/>
        </w:rPr>
        <w:t>(Tabla ADR-00</w:t>
      </w:r>
      <w:r>
        <w:rPr>
          <w:rFonts w:eastAsia="Noto Sans CJK SC" w:cs="Lohit Devanagari"/>
          <w:b w:val="false"/>
          <w:bCs w:val="false"/>
          <w:i/>
          <w:iCs/>
          <w:color w:val="000000"/>
          <w:kern w:val="0"/>
          <w:sz w:val="20"/>
          <w:szCs w:val="20"/>
          <w:lang w:val="es-ES" w:eastAsia="en-US" w:bidi="ar-SA"/>
        </w:rPr>
        <w:t>0</w:t>
      </w:r>
      <w:r>
        <w:rPr>
          <w:rFonts w:eastAsia="Noto Sans CJK SC" w:cs="Lohit Devanagari"/>
          <w:b w:val="false"/>
          <w:bCs w:val="false"/>
          <w:i/>
          <w:iCs/>
          <w:color w:val="000000"/>
          <w:kern w:val="0"/>
          <w:sz w:val="20"/>
          <w:szCs w:val="20"/>
          <w:lang w:val="es-ES" w:eastAsia="en-US" w:bidi="ar-SA"/>
        </w:rPr>
        <w:t>1 (1))</w:t>
      </w:r>
    </w:p>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
    </w:p>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
    </w:p>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
    </w:p>
    <w:tbl>
      <w:tblPr>
        <w:tblW w:w="9602" w:type="dxa"/>
        <w:jc w:val="left"/>
        <w:tblInd w:w="55" w:type="dxa"/>
        <w:tblCellMar>
          <w:top w:w="55" w:type="dxa"/>
          <w:left w:w="55" w:type="dxa"/>
          <w:bottom w:w="55" w:type="dxa"/>
          <w:right w:w="55" w:type="dxa"/>
        </w:tblCellMar>
      </w:tblPr>
      <w:tblGrid>
        <w:gridCol w:w="3570"/>
        <w:gridCol w:w="6032"/>
      </w:tblGrid>
      <w:tr>
        <w:trPr/>
        <w:tc>
          <w:tcPr>
            <w:tcW w:w="3570" w:type="dxa"/>
            <w:tcBorders>
              <w:top w:val="single" w:sz="4" w:space="0" w:color="000000"/>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Título de la decisión</w:t>
            </w:r>
          </w:p>
        </w:tc>
        <w:tc>
          <w:tcPr>
            <w:tcW w:w="6032"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t>Gestión de compras y acceso a  plataforma de pagos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ID</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ADD-00</w:t>
            </w:r>
            <w:r>
              <w:rPr>
                <w:b w:val="false"/>
                <w:bCs w:val="false"/>
                <w:color w:val="000000"/>
                <w:sz w:val="22"/>
                <w:szCs w:val="22"/>
              </w:rPr>
              <w:t>04</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Fecha</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4</w:t>
            </w:r>
            <w:r>
              <w:rPr>
                <w:b w:val="false"/>
                <w:bCs w:val="false"/>
                <w:color w:val="000000"/>
                <w:sz w:val="22"/>
                <w:szCs w:val="22"/>
              </w:rPr>
              <w:t>-11-2021 (último update)</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Creadores</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Enrique Martín S. &amp; Rodrigo Marqués Buil</w:t>
            </w:r>
          </w:p>
        </w:tc>
      </w:tr>
      <w:tr>
        <w:trPr/>
        <w:tc>
          <w:tcPr>
            <w:tcW w:w="3570" w:type="dxa"/>
            <w:tcBorders>
              <w:left w:val="single" w:sz="4" w:space="0" w:color="000000"/>
              <w:bottom w:val="single" w:sz="4" w:space="0" w:color="000000"/>
            </w:tcBorders>
            <w:vAlign w:val="center"/>
          </w:tcPr>
          <w:p>
            <w:pPr>
              <w:pStyle w:val="Contenidodelatabla"/>
              <w:jc w:val="left"/>
              <w:rPr>
                <w:i/>
                <w:i/>
                <w:iCs/>
                <w:color w:val="000000"/>
                <w:sz w:val="24"/>
                <w:szCs w:val="24"/>
              </w:rPr>
            </w:pPr>
            <w:r>
              <w:rPr>
                <w:i/>
                <w:iCs/>
                <w:color w:val="000000"/>
                <w:sz w:val="24"/>
                <w:szCs w:val="24"/>
              </w:rPr>
              <w:t>ASC</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4"/>
                <w:szCs w:val="24"/>
              </w:rPr>
            </w:pPr>
            <w:r>
              <w:rPr>
                <w:b w:val="false"/>
                <w:bCs w:val="false"/>
                <w:color w:val="000000"/>
                <w:sz w:val="24"/>
                <w:szCs w:val="24"/>
              </w:rPr>
              <w:t>Alberto García 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Estado</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t>Aceptada</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Requisitos (directrices de decisión)</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RF</w:t>
            </w:r>
            <w:r>
              <w:rPr>
                <w:b w:val="false"/>
                <w:bCs w:val="false"/>
                <w:color w:val="000000"/>
                <w:sz w:val="22"/>
                <w:szCs w:val="22"/>
              </w:rPr>
              <w:t>3.2</w:t>
            </w:r>
            <w:r>
              <w:rPr>
                <w:b w:val="false"/>
                <w:bCs w:val="false"/>
                <w:color w:val="000000"/>
                <w:sz w:val="22"/>
                <w:szCs w:val="22"/>
              </w:rPr>
              <w:t>: “M</w:t>
            </w:r>
            <w:r>
              <w:rPr>
                <w:b w:val="false"/>
                <w:bCs w:val="false"/>
                <w:color w:val="000000"/>
                <w:sz w:val="22"/>
                <w:szCs w:val="22"/>
              </w:rPr>
              <w:t>ódulo de detección de preferencias</w:t>
            </w:r>
            <w:r>
              <w:rPr>
                <w:b w:val="false"/>
                <w:bCs w:val="false"/>
                <w:color w:val="000000"/>
                <w:sz w:val="22"/>
                <w:szCs w:val="22"/>
              </w:rPr>
              <w:t>”</w:t>
            </w:r>
          </w:p>
          <w:p>
            <w:pPr>
              <w:pStyle w:val="Contenidodelatabla"/>
              <w:jc w:val="center"/>
              <w:rPr>
                <w:b w:val="false"/>
                <w:b w:val="false"/>
                <w:bCs w:val="false"/>
                <w:color w:val="000000"/>
                <w:sz w:val="22"/>
                <w:szCs w:val="22"/>
              </w:rPr>
            </w:pPr>
            <w:r>
              <w:rPr>
                <w:b w:val="false"/>
                <w:bCs w:val="false"/>
                <w:color w:val="000000"/>
                <w:sz w:val="22"/>
                <w:szCs w:val="22"/>
              </w:rPr>
              <w:t>RF</w:t>
            </w:r>
            <w:r>
              <w:rPr>
                <w:b w:val="false"/>
                <w:bCs w:val="false"/>
                <w:color w:val="000000"/>
                <w:sz w:val="22"/>
                <w:szCs w:val="22"/>
              </w:rPr>
              <w:t>3.3</w:t>
            </w:r>
            <w:r>
              <w:rPr>
                <w:b w:val="false"/>
                <w:bCs w:val="false"/>
                <w:color w:val="000000"/>
                <w:sz w:val="22"/>
                <w:szCs w:val="22"/>
              </w:rPr>
              <w:t>: “M</w:t>
            </w:r>
            <w:r>
              <w:rPr>
                <w:b w:val="false"/>
                <w:bCs w:val="false"/>
                <w:color w:val="000000"/>
                <w:sz w:val="22"/>
                <w:szCs w:val="22"/>
              </w:rPr>
              <w:t>ódulo de sistema de pago</w:t>
            </w:r>
            <w:r>
              <w:rPr>
                <w:b w:val="false"/>
                <w:bCs w:val="false"/>
                <w:color w:val="000000"/>
                <w:sz w:val="22"/>
                <w:szCs w:val="22"/>
              </w:rPr>
              <w:t>”</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Decisiones alternativas (opciones)</w:t>
            </w:r>
          </w:p>
        </w:tc>
        <w:tc>
          <w:tcPr>
            <w:tcW w:w="6032" w:type="dxa"/>
            <w:tcBorders>
              <w:left w:val="single" w:sz="4" w:space="0" w:color="000000"/>
              <w:bottom w:val="single" w:sz="4" w:space="0" w:color="000000"/>
              <w:right w:val="single" w:sz="4" w:space="0" w:color="000000"/>
            </w:tcBorders>
            <w:vAlign w:val="center"/>
          </w:tcPr>
          <w:p>
            <w:pPr>
              <w:pStyle w:val="Contenidodelatabla"/>
              <w:numPr>
                <w:ilvl w:val="0"/>
                <w:numId w:val="7"/>
              </w:numPr>
              <w:jc w:val="left"/>
              <w:rPr>
                <w:b w:val="false"/>
                <w:b w:val="false"/>
                <w:bCs w:val="false"/>
                <w:color w:val="000000"/>
                <w:sz w:val="22"/>
                <w:szCs w:val="22"/>
              </w:rPr>
            </w:pPr>
            <w:r>
              <w:rPr>
                <w:b/>
                <w:bCs/>
                <w:color w:val="000000"/>
                <w:sz w:val="22"/>
                <w:szCs w:val="22"/>
                <w:u w:val="single"/>
              </w:rPr>
              <w:t>Opción 1:</w:t>
            </w:r>
            <w:r>
              <w:rPr>
                <w:b w:val="false"/>
                <w:bCs w:val="false"/>
                <w:color w:val="000000"/>
                <w:sz w:val="22"/>
                <w:szCs w:val="22"/>
              </w:rPr>
              <w:t xml:space="preserve"> la BBDD almacenará las preferencias de los usuarios en base a las búsquedas anteriormente realizadas en la aplicación, debe estar implementada mediante un solo microservicio con dos API desarrolladas en </w:t>
            </w:r>
            <w:r>
              <w:rPr>
                <w:b/>
                <w:bCs/>
                <w:i/>
                <w:iCs/>
                <w:color w:val="000000"/>
                <w:sz w:val="22"/>
                <w:szCs w:val="22"/>
              </w:rPr>
              <w:t>JAVA</w:t>
            </w:r>
            <w:r>
              <w:rPr>
                <w:b w:val="false"/>
                <w:bCs w:val="false"/>
                <w:color w:val="000000"/>
                <w:sz w:val="22"/>
                <w:szCs w:val="22"/>
              </w:rPr>
              <w:t>.</w:t>
            </w:r>
          </w:p>
          <w:p>
            <w:pPr>
              <w:pStyle w:val="Contenidodelatabla"/>
              <w:numPr>
                <w:ilvl w:val="0"/>
                <w:numId w:val="7"/>
              </w:numPr>
              <w:jc w:val="left"/>
              <w:rPr/>
            </w:pPr>
            <w:r>
              <w:rPr>
                <w:b/>
                <w:bCs/>
                <w:color w:val="000000"/>
                <w:sz w:val="22"/>
                <w:szCs w:val="22"/>
                <w:u w:val="single"/>
              </w:rPr>
              <w:t>Opción 2:</w:t>
            </w:r>
            <w:r>
              <w:rPr>
                <w:b w:val="false"/>
                <w:bCs w:val="false"/>
                <w:color w:val="000000"/>
                <w:sz w:val="22"/>
                <w:szCs w:val="22"/>
              </w:rPr>
              <w:t xml:space="preserve"> </w:t>
            </w:r>
            <w:r>
              <w:rPr>
                <w:b w:val="false"/>
                <w:bCs w:val="false"/>
                <w:color w:val="000000"/>
                <w:sz w:val="22"/>
                <w:szCs w:val="22"/>
              </w:rPr>
              <w:t xml:space="preserve">La lógica es la misma que en la opción 1, pero las API desarrolladas en </w:t>
            </w:r>
            <w:r>
              <w:rPr>
                <w:b/>
                <w:bCs/>
                <w:i/>
                <w:iCs/>
                <w:color w:val="000000"/>
                <w:sz w:val="22"/>
                <w:szCs w:val="22"/>
              </w:rPr>
              <w:t>Phyton</w:t>
            </w:r>
            <w:r>
              <w:rPr>
                <w:b w:val="false"/>
                <w:bCs w:val="false"/>
                <w:color w:val="000000"/>
                <w:sz w:val="22"/>
                <w:szCs w:val="22"/>
              </w:rPr>
              <w:t xml:space="preserve"> puesto que es un lenguaje más potente e intuitivo.</w:t>
            </w:r>
          </w:p>
          <w:p>
            <w:pPr>
              <w:pStyle w:val="Contenidodelatabla"/>
              <w:numPr>
                <w:ilvl w:val="0"/>
                <w:numId w:val="7"/>
              </w:numPr>
              <w:jc w:val="left"/>
              <w:rPr>
                <w:b w:val="false"/>
                <w:b w:val="false"/>
                <w:bCs w:val="false"/>
                <w:color w:val="000000"/>
                <w:sz w:val="22"/>
                <w:szCs w:val="22"/>
              </w:rPr>
            </w:pPr>
            <w:r>
              <w:rPr>
                <w:b/>
                <w:bCs/>
                <w:color w:val="000000"/>
                <w:sz w:val="22"/>
                <w:szCs w:val="22"/>
                <w:u w:val="single"/>
              </w:rPr>
              <w:t>Opción 3:</w:t>
            </w:r>
            <w:r>
              <w:rPr>
                <w:b w:val="false"/>
                <w:bCs w:val="false"/>
                <w:color w:val="000000"/>
                <w:sz w:val="22"/>
                <w:szCs w:val="22"/>
              </w:rPr>
              <w:t xml:space="preserve"> </w:t>
            </w:r>
            <w:r>
              <w:rPr>
                <w:b w:val="false"/>
                <w:bCs w:val="false"/>
                <w:color w:val="000000"/>
                <w:sz w:val="22"/>
                <w:szCs w:val="22"/>
              </w:rPr>
              <w:t xml:space="preserve">La lógica es la misma que en la opción 1, pero las API desarrolladas en </w:t>
            </w:r>
            <w:r>
              <w:rPr>
                <w:b/>
                <w:bCs/>
                <w:i/>
                <w:iCs/>
                <w:color w:val="000000"/>
                <w:sz w:val="22"/>
                <w:szCs w:val="22"/>
              </w:rPr>
              <w:t>Node</w:t>
            </w:r>
            <w:r>
              <w:rPr>
                <w:b w:val="false"/>
                <w:bCs w:val="false"/>
                <w:color w:val="000000"/>
                <w:sz w:val="22"/>
                <w:szCs w:val="22"/>
              </w:rPr>
              <w:t xml:space="preserve"> ya que es una opción perfectamente válida.</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 xml:space="preserve">Decisión </w:t>
            </w:r>
            <w:r>
              <w:rPr>
                <w:b/>
                <w:bCs/>
                <w:i/>
                <w:iCs/>
                <w:color w:val="000000"/>
                <w:sz w:val="24"/>
                <w:szCs w:val="24"/>
              </w:rPr>
              <w:t xml:space="preserve">final </w:t>
            </w:r>
            <w:r>
              <w:rPr>
                <w:b/>
                <w:bCs/>
                <w:i/>
                <w:iCs/>
                <w:color w:val="000000"/>
                <w:sz w:val="24"/>
                <w:szCs w:val="24"/>
              </w:rPr>
              <w:t>tomada (opción seleccionada)</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t>Opción 2</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Consecuencias positivas</w:t>
            </w:r>
          </w:p>
        </w:tc>
        <w:tc>
          <w:tcPr>
            <w:tcW w:w="6032" w:type="dxa"/>
            <w:tcBorders>
              <w:left w:val="single" w:sz="4" w:space="0" w:color="000000"/>
              <w:bottom w:val="single" w:sz="4" w:space="0" w:color="000000"/>
              <w:right w:val="single" w:sz="4" w:space="0" w:color="000000"/>
            </w:tcBorders>
            <w:vAlign w:val="center"/>
          </w:tcPr>
          <w:p>
            <w:pPr>
              <w:pStyle w:val="Contenidodelatabla"/>
              <w:numPr>
                <w:ilvl w:val="0"/>
                <w:numId w:val="6"/>
              </w:numPr>
              <w:jc w:val="left"/>
              <w:rPr>
                <w:rFonts w:ascii="Calibri" w:hAnsi="Calibri" w:eastAsia="" w:cs=""/>
                <w:b/>
                <w:b/>
                <w:bCs/>
                <w:color w:val="000000"/>
                <w:kern w:val="0"/>
                <w:sz w:val="22"/>
                <w:szCs w:val="22"/>
                <w:u w:val="single"/>
                <w:lang w:val="es-ES" w:eastAsia="en-US" w:bidi="ar-SA"/>
              </w:rPr>
            </w:pPr>
            <w:r>
              <w:rPr>
                <w:rFonts w:eastAsia="" w:cs=""/>
                <w:b/>
                <w:bCs/>
                <w:color w:val="000000"/>
                <w:kern w:val="0"/>
                <w:sz w:val="22"/>
                <w:szCs w:val="22"/>
                <w:u w:val="single"/>
                <w:lang w:val="es-ES" w:eastAsia="en-US" w:bidi="ar-SA"/>
              </w:rPr>
              <w:t>Comunes:</w:t>
            </w:r>
          </w:p>
          <w:p>
            <w:pPr>
              <w:pStyle w:val="Contenidodelatabla"/>
              <w:numPr>
                <w:ilvl w:val="1"/>
                <w:numId w:val="6"/>
              </w:numPr>
              <w:jc w:val="left"/>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t>El sistema de preferencias generado por búsquedas anteriores permite que el usuario encuentre productos parecidos a los que le interesan, y por tanto, que sea una herramienta útil para el cliente.</w:t>
            </w:r>
          </w:p>
          <w:p>
            <w:pPr>
              <w:pStyle w:val="Contenidodelatabla"/>
              <w:numPr>
                <w:ilvl w:val="0"/>
                <w:numId w:val="0"/>
              </w:numPr>
              <w:ind w:left="1080" w:hanging="0"/>
              <w:jc w:val="left"/>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r>
          </w:p>
          <w:p>
            <w:pPr>
              <w:pStyle w:val="Contenidodelatabla"/>
              <w:numPr>
                <w:ilvl w:val="1"/>
                <w:numId w:val="6"/>
              </w:numPr>
              <w:jc w:val="left"/>
              <w:rPr/>
            </w:pPr>
            <w:r>
              <w:rPr>
                <w:rFonts w:eastAsia="" w:cs=""/>
                <w:b w:val="false"/>
                <w:bCs w:val="false"/>
                <w:color w:val="000000"/>
                <w:kern w:val="0"/>
                <w:sz w:val="22"/>
                <w:szCs w:val="22"/>
                <w:lang w:val="es-ES" w:eastAsia="en-US" w:bidi="ar-SA"/>
              </w:rPr>
              <w:t xml:space="preserve">La </w:t>
            </w:r>
            <w:r>
              <w:rPr>
                <w:rFonts w:eastAsia="" w:cs=""/>
                <w:b w:val="false"/>
                <w:bCs w:val="false"/>
                <w:color w:val="000000"/>
                <w:kern w:val="0"/>
                <w:sz w:val="22"/>
                <w:szCs w:val="22"/>
                <w:lang w:val="es-ES" w:eastAsia="en-US" w:bidi="ar-SA"/>
              </w:rPr>
              <w:t>BBDD</w:t>
            </w:r>
            <w:r>
              <w:rPr>
                <w:rFonts w:eastAsia="" w:cs=""/>
                <w:b w:val="false"/>
                <w:bCs w:val="false"/>
                <w:color w:val="000000"/>
                <w:kern w:val="0"/>
                <w:sz w:val="22"/>
                <w:szCs w:val="22"/>
                <w:lang w:val="es-ES" w:eastAsia="en-US" w:bidi="ar-SA"/>
              </w:rPr>
              <w:t xml:space="preserve"> NoSQL estaría correctamente conectada con los diferentes módulos del sistema, y recopilar la información de los diferentes usuarios no es una operación complicada de realizar ni implementar, por lo que la escalabilidad se vuelve a respetar en este punto.</w:t>
            </w:r>
          </w:p>
          <w:p>
            <w:pPr>
              <w:pStyle w:val="Contenidodelatabla"/>
              <w:numPr>
                <w:ilvl w:val="0"/>
                <w:numId w:val="0"/>
              </w:numPr>
              <w:ind w:left="1080" w:hanging="0"/>
              <w:jc w:val="left"/>
              <w:rPr>
                <w:rFonts w:ascii="Calibri" w:hAnsi="Calibri" w:eastAsia="" w:cs=""/>
                <w:b w:val="false"/>
                <w:b w:val="false"/>
                <w:bCs w:val="false"/>
                <w:color w:val="000000"/>
                <w:kern w:val="0"/>
                <w:sz w:val="22"/>
                <w:szCs w:val="22"/>
                <w:lang w:val="es-ES" w:eastAsia="en-US" w:bidi="ar-SA"/>
              </w:rPr>
            </w:pPr>
            <w:r>
              <w:rPr/>
            </w:r>
          </w:p>
          <w:p>
            <w:pPr>
              <w:pStyle w:val="Contenidodelatabla"/>
              <w:numPr>
                <w:ilvl w:val="1"/>
                <w:numId w:val="6"/>
              </w:numPr>
              <w:jc w:val="left"/>
              <w:rPr/>
            </w:pPr>
            <w:r>
              <w:rPr>
                <w:rFonts w:eastAsia="" w:cs=""/>
                <w:b w:val="false"/>
                <w:bCs w:val="false"/>
                <w:color w:val="000000"/>
                <w:kern w:val="0"/>
                <w:sz w:val="22"/>
                <w:szCs w:val="22"/>
                <w:lang w:val="es-ES" w:eastAsia="en-US" w:bidi="ar-SA"/>
              </w:rPr>
              <w:t>Actualizar la base de datos una vez el usuario ha dejado de navegar por la aplicación con las nuevas preferencia generadas, permitirá que el dicho sistema de preferencias sea flexible y se adapte a los nuevos gustos de los usuarios.</w:t>
            </w:r>
          </w:p>
          <w:p>
            <w:pPr>
              <w:pStyle w:val="Contenidodelatabla"/>
              <w:numPr>
                <w:ilvl w:val="0"/>
                <w:numId w:val="0"/>
              </w:numPr>
              <w:ind w:left="1080" w:hanging="0"/>
              <w:jc w:val="left"/>
              <w:rPr>
                <w:rFonts w:ascii="Calibri" w:hAnsi="Calibri" w:eastAsia="" w:cs=""/>
                <w:b w:val="false"/>
                <w:b w:val="false"/>
                <w:bCs w:val="false"/>
                <w:color w:val="000000"/>
                <w:kern w:val="0"/>
                <w:sz w:val="22"/>
                <w:szCs w:val="22"/>
                <w:lang w:val="es-ES" w:eastAsia="en-US" w:bidi="ar-SA"/>
              </w:rPr>
            </w:pPr>
            <w:r>
              <w:rPr/>
            </w:r>
          </w:p>
          <w:p>
            <w:pPr>
              <w:pStyle w:val="Contenidodelatabla"/>
              <w:numPr>
                <w:ilvl w:val="1"/>
                <w:numId w:val="6"/>
              </w:numPr>
              <w:jc w:val="left"/>
              <w:rPr/>
            </w:pPr>
            <w:r>
              <w:rPr>
                <w:rFonts w:eastAsia="" w:cs=""/>
                <w:b w:val="false"/>
                <w:bCs w:val="false"/>
                <w:color w:val="000000"/>
                <w:kern w:val="0"/>
                <w:sz w:val="22"/>
                <w:szCs w:val="22"/>
                <w:lang w:val="es-ES" w:eastAsia="en-US" w:bidi="ar-SA"/>
              </w:rPr>
              <w:t>La forma de conectar con el banco es fácil de implementar puesto que muchas aplicaciones anteriormente han utilizado esta lógica, por lo que podemos encontrar mucha documentación y ejemplos en diferentes webs.</w:t>
            </w:r>
          </w:p>
          <w:p>
            <w:pPr>
              <w:pStyle w:val="Contenidodelatabla"/>
              <w:numPr>
                <w:ilvl w:val="0"/>
                <w:numId w:val="0"/>
              </w:numPr>
              <w:ind w:left="1080" w:hanging="0"/>
              <w:jc w:val="left"/>
              <w:rPr>
                <w:rFonts w:ascii="Calibri" w:hAnsi="Calibri" w:eastAsia="" w:cs=""/>
                <w:b w:val="false"/>
                <w:b w:val="false"/>
                <w:bCs w:val="false"/>
                <w:color w:val="000000"/>
                <w:kern w:val="0"/>
                <w:sz w:val="22"/>
                <w:szCs w:val="22"/>
                <w:lang w:val="es-ES" w:eastAsia="en-US" w:bidi="ar-SA"/>
              </w:rPr>
            </w:pPr>
            <w:r>
              <w:rPr/>
            </w:r>
          </w:p>
          <w:p>
            <w:pPr>
              <w:pStyle w:val="Contenidodelatabla"/>
              <w:numPr>
                <w:ilvl w:val="0"/>
                <w:numId w:val="6"/>
              </w:numPr>
              <w:jc w:val="left"/>
              <w:rPr>
                <w:b/>
                <w:b/>
                <w:bCs/>
                <w:u w:val="single"/>
              </w:rPr>
            </w:pPr>
            <w:r>
              <w:rPr>
                <w:b/>
                <w:bCs/>
                <w:color w:val="000000"/>
                <w:sz w:val="22"/>
                <w:szCs w:val="22"/>
                <w:u w:val="single"/>
              </w:rPr>
              <w:t>Opción 1:</w:t>
            </w:r>
          </w:p>
          <w:p>
            <w:pPr>
              <w:pStyle w:val="Contenidodelatabla"/>
              <w:numPr>
                <w:ilvl w:val="1"/>
                <w:numId w:val="6"/>
              </w:numPr>
              <w:jc w:val="left"/>
              <w:rPr>
                <w:color w:val="000000"/>
                <w:sz w:val="22"/>
                <w:szCs w:val="22"/>
              </w:rPr>
            </w:pPr>
            <w:r>
              <w:rPr>
                <w:b w:val="false"/>
                <w:bCs w:val="false"/>
                <w:color w:val="000000"/>
                <w:sz w:val="22"/>
                <w:szCs w:val="22"/>
                <w:u w:val="none"/>
              </w:rPr>
              <w:t>JAVA es un lenguaje preparado para albergar este tipo de aplicaciones, lo que puede ser de ayuda a la hora de implementarlo y escalarlo.</w:t>
            </w:r>
          </w:p>
          <w:p>
            <w:pPr>
              <w:pStyle w:val="Contenidodelatabla"/>
              <w:numPr>
                <w:ilvl w:val="0"/>
                <w:numId w:val="6"/>
              </w:numPr>
              <w:jc w:val="left"/>
              <w:rPr>
                <w:rFonts w:ascii="Calibri" w:hAnsi="Calibri" w:eastAsia="" w:cs=""/>
                <w:b/>
                <w:b/>
                <w:bCs/>
                <w:color w:val="000000"/>
                <w:kern w:val="0"/>
                <w:sz w:val="22"/>
                <w:szCs w:val="22"/>
                <w:u w:val="single"/>
                <w:lang w:val="es-ES" w:eastAsia="en-US" w:bidi="ar-SA"/>
              </w:rPr>
            </w:pPr>
            <w:r>
              <w:rPr>
                <w:rFonts w:eastAsia="" w:cs=""/>
                <w:b/>
                <w:bCs/>
                <w:color w:val="000000"/>
                <w:kern w:val="0"/>
                <w:sz w:val="22"/>
                <w:szCs w:val="22"/>
                <w:u w:val="single"/>
                <w:lang w:val="es-ES" w:eastAsia="en-US" w:bidi="ar-SA"/>
              </w:rPr>
              <w:t xml:space="preserve">Opción 2: </w:t>
            </w:r>
          </w:p>
          <w:p>
            <w:pPr>
              <w:pStyle w:val="Contenidodelatabla"/>
              <w:numPr>
                <w:ilvl w:val="1"/>
                <w:numId w:val="6"/>
              </w:numPr>
              <w:jc w:val="left"/>
              <w:rPr>
                <w:rFonts w:ascii="Calibri" w:hAnsi="Calibri" w:eastAsia="" w:cs=""/>
                <w:b w:val="false"/>
                <w:b w:val="false"/>
                <w:bCs w:val="false"/>
                <w:color w:val="000000"/>
                <w:kern w:val="0"/>
                <w:sz w:val="22"/>
                <w:szCs w:val="22"/>
                <w:lang w:val="es-ES" w:eastAsia="en-US" w:bidi="ar-SA"/>
              </w:rPr>
            </w:pPr>
            <w:r>
              <w:rPr>
                <w:rFonts w:eastAsia="" w:cs=""/>
                <w:b w:val="false"/>
                <w:bCs w:val="false"/>
                <w:color w:val="000000"/>
                <w:kern w:val="0"/>
                <w:sz w:val="22"/>
                <w:szCs w:val="22"/>
                <w:lang w:val="es-ES" w:eastAsia="en-US" w:bidi="ar-SA"/>
              </w:rPr>
              <w:t>La potencia nativa de Python sumado con lo intuitivo que es el lenguaje, lo convierte en una opción más que factible.</w:t>
            </w:r>
          </w:p>
          <w:p>
            <w:pPr>
              <w:pStyle w:val="Contenidodelatabla"/>
              <w:numPr>
                <w:ilvl w:val="0"/>
                <w:numId w:val="6"/>
              </w:numPr>
              <w:jc w:val="left"/>
              <w:rPr>
                <w:rFonts w:ascii="Calibri" w:hAnsi="Calibri" w:eastAsia="" w:cs=""/>
                <w:b/>
                <w:b/>
                <w:bCs/>
                <w:color w:val="000000"/>
                <w:kern w:val="0"/>
                <w:sz w:val="22"/>
                <w:szCs w:val="22"/>
                <w:u w:val="single"/>
                <w:lang w:val="es-ES" w:eastAsia="en-US" w:bidi="ar-SA"/>
              </w:rPr>
            </w:pPr>
            <w:r>
              <w:rPr>
                <w:rFonts w:eastAsia="" w:cs=""/>
                <w:b/>
                <w:bCs/>
                <w:color w:val="000000"/>
                <w:kern w:val="0"/>
                <w:sz w:val="22"/>
                <w:szCs w:val="22"/>
                <w:u w:val="single"/>
                <w:lang w:val="es-ES" w:eastAsia="en-US" w:bidi="ar-SA"/>
              </w:rPr>
              <w:t xml:space="preserve">Opción 3: </w:t>
            </w:r>
          </w:p>
          <w:p>
            <w:pPr>
              <w:pStyle w:val="Contenidodelatabla"/>
              <w:numPr>
                <w:ilvl w:val="1"/>
                <w:numId w:val="6"/>
              </w:numPr>
              <w:jc w:val="left"/>
              <w:rPr>
                <w:rFonts w:ascii="Calibri" w:hAnsi="Calibri" w:eastAsia="" w:cs=""/>
                <w:b w:val="false"/>
                <w:b w:val="false"/>
                <w:bCs w:val="false"/>
                <w:color w:val="000000"/>
                <w:kern w:val="0"/>
                <w:sz w:val="22"/>
                <w:szCs w:val="22"/>
                <w:u w:val="none"/>
                <w:lang w:val="es-ES" w:eastAsia="en-US" w:bidi="ar-SA"/>
              </w:rPr>
            </w:pPr>
            <w:r>
              <w:rPr>
                <w:rFonts w:eastAsia="" w:cs=""/>
                <w:b w:val="false"/>
                <w:bCs w:val="false"/>
                <w:color w:val="000000"/>
                <w:kern w:val="0"/>
                <w:sz w:val="22"/>
                <w:szCs w:val="22"/>
                <w:u w:val="none"/>
                <w:lang w:val="es-ES" w:eastAsia="en-US" w:bidi="ar-SA"/>
              </w:rPr>
              <w:t xml:space="preserve">Podemos expandir nuestro </w:t>
            </w:r>
            <w:r>
              <w:rPr>
                <w:rFonts w:eastAsia="" w:cs=""/>
                <w:b w:val="false"/>
                <w:bCs w:val="false"/>
                <w:color w:val="000000"/>
                <w:kern w:val="0"/>
                <w:sz w:val="22"/>
                <w:szCs w:val="22"/>
                <w:u w:val="none"/>
                <w:lang w:val="es-ES" w:eastAsia="en-US" w:bidi="ar-SA"/>
              </w:rPr>
              <w:t>sistema</w:t>
            </w:r>
            <w:r>
              <w:rPr>
                <w:rFonts w:eastAsia="" w:cs=""/>
                <w:b w:val="false"/>
                <w:bCs w:val="false"/>
                <w:color w:val="000000"/>
                <w:kern w:val="0"/>
                <w:sz w:val="22"/>
                <w:szCs w:val="22"/>
                <w:u w:val="none"/>
                <w:lang w:val="es-ES" w:eastAsia="en-US" w:bidi="ar-SA"/>
              </w:rPr>
              <w:t xml:space="preserve"> añadiendo módulos de forma fácil gracias al N</w:t>
            </w:r>
            <w:r>
              <w:rPr>
                <w:rFonts w:eastAsia="" w:cs=""/>
                <w:b w:val="false"/>
                <w:bCs w:val="false"/>
                <w:color w:val="000000"/>
                <w:kern w:val="0"/>
                <w:sz w:val="22"/>
                <w:szCs w:val="22"/>
                <w:u w:val="none"/>
                <w:lang w:val="es-ES" w:eastAsia="en-US" w:bidi="ar-SA"/>
              </w:rPr>
              <w:t>PM*</w:t>
            </w:r>
            <w:r>
              <w:rPr>
                <w:rFonts w:eastAsia="" w:cs=""/>
                <w:b w:val="false"/>
                <w:bCs w:val="false"/>
                <w:color w:val="000000"/>
                <w:kern w:val="0"/>
                <w:sz w:val="22"/>
                <w:szCs w:val="22"/>
                <w:u w:val="none"/>
                <w:lang w:val="es-ES" w:eastAsia="en-US" w:bidi="ar-SA"/>
              </w:rPr>
              <w:t xml:space="preserve"> </w:t>
            </w:r>
            <w:r>
              <w:rPr>
                <w:rFonts w:eastAsia="" w:cs=""/>
                <w:b w:val="false"/>
                <w:bCs w:val="false"/>
                <w:color w:val="000000"/>
                <w:kern w:val="0"/>
                <w:sz w:val="22"/>
                <w:szCs w:val="22"/>
                <w:u w:val="none"/>
                <w:lang w:val="es-ES" w:eastAsia="en-US" w:bidi="ar-SA"/>
              </w:rPr>
              <w:t>además de la alta escalabilidad que permite el uso de clusters.</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Consecuencias negativas</w:t>
            </w:r>
          </w:p>
        </w:tc>
        <w:tc>
          <w:tcPr>
            <w:tcW w:w="6032" w:type="dxa"/>
            <w:tcBorders>
              <w:left w:val="single" w:sz="4" w:space="0" w:color="000000"/>
              <w:bottom w:val="single" w:sz="4" w:space="0" w:color="000000"/>
              <w:right w:val="single" w:sz="4" w:space="0" w:color="000000"/>
            </w:tcBorders>
            <w:vAlign w:val="center"/>
          </w:tcPr>
          <w:p>
            <w:pPr>
              <w:pStyle w:val="Contenidodelatabla"/>
              <w:numPr>
                <w:ilvl w:val="0"/>
                <w:numId w:val="6"/>
              </w:numPr>
              <w:jc w:val="left"/>
              <w:rPr>
                <w:sz w:val="22"/>
                <w:szCs w:val="22"/>
              </w:rPr>
            </w:pPr>
            <w:r>
              <w:rPr>
                <w:b w:val="false"/>
                <w:bCs w:val="false"/>
                <w:color w:val="000000"/>
                <w:sz w:val="22"/>
                <w:szCs w:val="22"/>
              </w:rPr>
              <w:t>Separar en un sistema de dos APIs las implementaciones propuestas podría resultar confuso a la hora de conectarlas con los módulos de usuario e interfaz.</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La lógica no parece revisable.</w:t>
            </w:r>
          </w:p>
          <w:p>
            <w:pPr>
              <w:pStyle w:val="Contenidodelatabla"/>
              <w:numPr>
                <w:ilvl w:val="0"/>
                <w:numId w:val="6"/>
              </w:numPr>
              <w:jc w:val="left"/>
              <w:rPr>
                <w:b w:val="false"/>
                <w:b w:val="false"/>
                <w:bCs w:val="false"/>
                <w:color w:val="000000"/>
                <w:sz w:val="22"/>
                <w:szCs w:val="22"/>
              </w:rPr>
            </w:pPr>
            <w:r>
              <w:rPr>
                <w:b w:val="false"/>
                <w:bCs w:val="false"/>
                <w:color w:val="000000"/>
                <w:sz w:val="22"/>
                <w:szCs w:val="22"/>
              </w:rPr>
              <w:t xml:space="preserve">La base de datos NoSQL puede verse afectada por una sobrecarga de importancia en la lógica planteada. </w:t>
            </w:r>
          </w:p>
        </w:tc>
      </w:tr>
      <w:tr>
        <w:trPr/>
        <w:tc>
          <w:tcPr>
            <w:tcW w:w="3570" w:type="dxa"/>
            <w:tcBorders>
              <w:left w:val="single" w:sz="4" w:space="0" w:color="000000"/>
              <w:bottom w:val="single" w:sz="4" w:space="0" w:color="000000"/>
            </w:tcBorders>
            <w:vAlign w:val="center"/>
          </w:tcPr>
          <w:p>
            <w:pPr>
              <w:pStyle w:val="Contenidodelatabla"/>
              <w:jc w:val="left"/>
              <w:rPr>
                <w:b/>
                <w:b/>
                <w:bCs/>
                <w:i/>
                <w:i/>
                <w:iCs/>
                <w:color w:val="000000"/>
                <w:sz w:val="24"/>
                <w:szCs w:val="24"/>
              </w:rPr>
            </w:pPr>
            <w:r>
              <w:rPr>
                <w:b/>
                <w:bCs/>
                <w:i/>
                <w:iCs/>
                <w:color w:val="000000"/>
                <w:sz w:val="24"/>
                <w:szCs w:val="24"/>
              </w:rPr>
              <w:t>Documentación</w:t>
            </w:r>
          </w:p>
        </w:tc>
        <w:tc>
          <w:tcPr>
            <w:tcW w:w="6032" w:type="dxa"/>
            <w:tcBorders>
              <w:left w:val="single" w:sz="4" w:space="0" w:color="000000"/>
              <w:bottom w:val="single" w:sz="4" w:space="0" w:color="000000"/>
              <w:right w:val="single" w:sz="4" w:space="0" w:color="000000"/>
            </w:tcBorders>
            <w:vAlign w:val="center"/>
          </w:tcPr>
          <w:p>
            <w:pPr>
              <w:pStyle w:val="Contenidodelatabla"/>
              <w:jc w:val="center"/>
              <w:rPr>
                <w:b w:val="false"/>
                <w:b w:val="false"/>
                <w:bCs w:val="false"/>
                <w:color w:val="000000"/>
                <w:sz w:val="22"/>
                <w:szCs w:val="22"/>
              </w:rPr>
            </w:pPr>
            <w:r>
              <w:rPr>
                <w:b w:val="false"/>
                <w:bCs w:val="false"/>
                <w:color w:val="000000"/>
                <w:sz w:val="22"/>
                <w:szCs w:val="22"/>
              </w:rPr>
              <w:t>https://docs.microsoft.com/es-es/azure/architecture/guide/architecture-styles/microservices</w:t>
            </w:r>
          </w:p>
        </w:tc>
      </w:tr>
    </w:tbl>
    <w:p>
      <w:pPr>
        <w:pStyle w:val="Contenido"/>
        <w:rPr>
          <w:rFonts w:ascii="Calibri" w:hAnsi="Calibri" w:eastAsia="Noto Sans CJK SC" w:cs="Lohit Devanagari"/>
          <w:b w:val="false"/>
          <w:b w:val="false"/>
          <w:bCs w:val="false"/>
          <w:i/>
          <w:i/>
          <w:iCs/>
          <w:color w:val="000000"/>
          <w:kern w:val="0"/>
          <w:sz w:val="20"/>
          <w:szCs w:val="20"/>
          <w:lang w:val="es-ES" w:eastAsia="en-US" w:bidi="ar-SA"/>
        </w:rPr>
      </w:pPr>
      <w:r>
        <w:rPr>
          <w:rFonts w:eastAsia="Noto Sans CJK SC" w:cs="Lohit Devanagari"/>
          <w:b w:val="false"/>
          <w:bCs w:val="false"/>
          <w:i/>
          <w:iCs/>
          <w:color w:val="000000"/>
          <w:kern w:val="0"/>
          <w:sz w:val="20"/>
          <w:szCs w:val="20"/>
          <w:lang w:val="es-ES" w:eastAsia="en-US" w:bidi="ar-SA"/>
        </w:rPr>
        <w:t>(Tabla ADR-00</w:t>
      </w:r>
      <w:r>
        <w:rPr>
          <w:rFonts w:eastAsia="Noto Sans CJK SC" w:cs="Lohit Devanagari"/>
          <w:b w:val="false"/>
          <w:bCs w:val="false"/>
          <w:i/>
          <w:iCs/>
          <w:color w:val="000000"/>
          <w:kern w:val="0"/>
          <w:sz w:val="20"/>
          <w:szCs w:val="20"/>
          <w:lang w:val="es-ES" w:eastAsia="en-US" w:bidi="ar-SA"/>
        </w:rPr>
        <w:t>04)</w:t>
      </w:r>
    </w:p>
    <w:sectPr>
      <w:headerReference w:type="default" r:id="rId3"/>
      <w:headerReference w:type="first" r:id="rId4"/>
      <w:footerReference w:type="default" r:id="rId5"/>
      <w:footerReference w:type="first" r:id="rId6"/>
      <w:type w:val="nextPage"/>
      <w:pgSz w:w="11906" w:h="16838"/>
      <w:pgMar w:left="1152" w:right="1152" w:header="720" w:top="1512" w:footer="288" w:bottom="720" w:gutter="0"/>
      <w:pgNumType w:start="1" w:fmt="decimal"/>
      <w:formProt w:val="false"/>
      <w:titlePg/>
      <w:textDirection w:val="lrTb"/>
      <w:docGrid w:type="default" w:linePitch="38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lang w:bidi="es-ES"/>
      </w:rPr>
    </w:pPr>
    <w:r>
      <w:rPr>
        <w:lang w:bidi="es-ES"/>
      </w:rPr>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0" distR="0" simplePos="0" locked="0" layoutInCell="1" allowOverlap="1" relativeHeight="4" wp14:anchorId="483C185D">
              <wp:simplePos x="0" y="0"/>
              <wp:positionH relativeFrom="column">
                <wp:posOffset>-731520</wp:posOffset>
              </wp:positionH>
              <wp:positionV relativeFrom="paragraph">
                <wp:posOffset>-3577590</wp:posOffset>
              </wp:positionV>
              <wp:extent cx="7767320" cy="3990975"/>
              <wp:effectExtent l="0" t="0" r="9525" b="0"/>
              <wp:wrapNone/>
              <wp:docPr id="8" name="Rectángulo 11" descr="Rectángulo de color"/>
              <a:graphic xmlns:a="http://schemas.openxmlformats.org/drawingml/2006/main">
                <a:graphicData uri="http://schemas.microsoft.com/office/word/2010/wordprocessingShape">
                  <wps:wsp>
                    <wps:cNvSpPr/>
                    <wps:spPr>
                      <a:xfrm>
                        <a:off x="0" y="0"/>
                        <a:ext cx="7766640" cy="39902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1" fillcolor="#34aba2" stroked="f" style="position:absolute;margin-left:-57.6pt;margin-top:-281.7pt;width:611.5pt;height:314.15pt" wp14:anchorId="483C185D">
              <w10:wrap type="none"/>
              <v:fill o:detectmouseclick="t" type="solid" color2="#cb545d"/>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12" w:type="dxa"/>
      <w:jc w:val="left"/>
      <w:tblInd w:w="0" w:type="dxa"/>
      <w:tblCellMar>
        <w:top w:w="0" w:type="dxa"/>
        <w:left w:w="0" w:type="dxa"/>
        <w:bottom w:w="0" w:type="dxa"/>
        <w:right w:w="0" w:type="dxa"/>
      </w:tblCellMar>
      <w:tblLook w:val="0000" w:noHBand="0" w:noVBand="0" w:firstColumn="0" w:lastRow="0" w:lastColumn="0" w:firstRow="0"/>
    </w:tblPr>
    <w:tblGrid>
      <w:gridCol w:w="9612"/>
    </w:tblGrid>
    <w:tr>
      <w:trPr>
        <w:trHeight w:val="259" w:hRule="exact"/>
      </w:trPr>
      <w:tc>
        <w:tcPr>
          <w:tcW w:w="9612" w:type="dxa"/>
          <w:tcBorders>
            <w:bottom w:val="single" w:sz="36" w:space="0" w:color="34ABA2"/>
          </w:tcBorders>
        </w:tcPr>
        <w:p>
          <w:pPr>
            <w:pStyle w:val="Cabecera"/>
            <w:rPr/>
          </w:pPr>
          <w:r>
            <w:rPr/>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0" distR="0" simplePos="0" locked="0" layoutInCell="1" allowOverlap="1" relativeHeight="3" wp14:anchorId="704B7B1D">
              <wp:simplePos x="0" y="0"/>
              <wp:positionH relativeFrom="column">
                <wp:posOffset>-188595</wp:posOffset>
              </wp:positionH>
              <wp:positionV relativeFrom="paragraph">
                <wp:posOffset>457200</wp:posOffset>
              </wp:positionV>
              <wp:extent cx="3943350" cy="8269605"/>
              <wp:effectExtent l="0" t="0" r="3810" b="1905"/>
              <wp:wrapNone/>
              <wp:docPr id="6" name="Rectángulo 13" descr="Rectángulo blanco para texto en portada"/>
              <a:graphic xmlns:a="http://schemas.openxmlformats.org/drawingml/2006/main">
                <a:graphicData uri="http://schemas.microsoft.com/office/word/2010/wordprocessingShape">
                  <wps:wsp>
                    <wps:cNvSpPr/>
                    <wps:spPr>
                      <a:xfrm>
                        <a:off x="0" y="0"/>
                        <a:ext cx="3942720" cy="8268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3" fillcolor="white" stroked="f" style="position:absolute;margin-left:-14.85pt;margin-top:36pt;width:310.4pt;height:651.05pt" wp14:anchorId="704B7B1D">
              <w10:wrap type="none"/>
              <v:fill o:detectmouseclick="t" type="solid" color2="black"/>
              <v:stroke color="#3465a4" weight="25560" joinstyle="round" endcap="flat"/>
            </v:rect>
          </w:pict>
        </mc:Fallback>
      </mc:AlternateContent>
      <w:drawing>
        <wp:anchor behindDoc="1" distT="0" distB="0" distL="0" distR="0" simplePos="0" locked="0" layoutInCell="1" allowOverlap="1" relativeHeight="2">
          <wp:simplePos x="0" y="0"/>
          <wp:positionH relativeFrom="column">
            <wp:posOffset>-750570</wp:posOffset>
          </wp:positionH>
          <wp:positionV relativeFrom="paragraph">
            <wp:posOffset>-457200</wp:posOffset>
          </wp:positionV>
          <wp:extent cx="7560310" cy="6682740"/>
          <wp:effectExtent l="0" t="0" r="0" b="0"/>
          <wp:wrapNone/>
          <wp:docPr id="7" name="Imagen 2"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Vista de la calle con edificios, establecimientos y cantantes de calle"/>
                  <pic:cNvPicPr>
                    <a:picLocks noChangeAspect="1" noChangeArrowheads="1"/>
                  </pic:cNvPicPr>
                </pic:nvPicPr>
                <pic:blipFill>
                  <a:blip r:embed="rId1"/>
                  <a:stretch>
                    <a:fillRect/>
                  </a:stretch>
                </pic:blipFill>
                <pic:spPr bwMode="auto">
                  <a:xfrm>
                    <a:off x="0" y="0"/>
                    <a:ext cx="7560310" cy="66827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6945"/>
    <w:pPr>
      <w:widowControl/>
      <w:suppressAutoHyphens w:val="true"/>
      <w:bidi w:val="0"/>
      <w:spacing w:lineRule="auto" w:line="276" w:before="0" w:after="0"/>
      <w:jc w:val="left"/>
    </w:pPr>
    <w:rPr>
      <w:rFonts w:ascii="Calibri" w:hAnsi="Calibri" w:eastAsia="" w:cs="" w:eastAsiaTheme="minorEastAsia"/>
      <w:b/>
      <w:color w:val="082A75" w:themeColor="text2"/>
      <w:kern w:val="0"/>
      <w:sz w:val="28"/>
      <w:szCs w:val="22"/>
      <w:lang w:val="es-ES" w:eastAsia="en-US" w:bidi="ar-SA"/>
    </w:rPr>
  </w:style>
  <w:style w:type="paragraph" w:styleId="Ttulo1">
    <w:name w:val="Heading 1"/>
    <w:basedOn w:val="Normal"/>
    <w:link w:val="Heading1Char"/>
    <w:uiPriority w:val="4"/>
    <w:qFormat/>
    <w:rsid w:val="00d077e9"/>
    <w:pPr>
      <w:keepNext w:val="true"/>
      <w:spacing w:before="240" w:after="60"/>
      <w:outlineLvl w:val="0"/>
    </w:pPr>
    <w:rPr>
      <w:rFonts w:ascii="Arial" w:hAnsi="Arial" w:eastAsia="" w:cs="" w:asciiTheme="majorHAnsi" w:cstheme="majorBidi" w:eastAsiaTheme="majorEastAsia" w:hAnsiTheme="majorHAnsi"/>
      <w:color w:val="061F57" w:themeColor="text2" w:themeShade="bf"/>
      <w:kern w:val="2"/>
      <w:sz w:val="52"/>
      <w:szCs w:val="32"/>
    </w:rPr>
  </w:style>
  <w:style w:type="paragraph" w:styleId="Ttulo2">
    <w:name w:val="Heading 2"/>
    <w:basedOn w:val="Normal"/>
    <w:next w:val="Normal"/>
    <w:link w:val="Heading2Char"/>
    <w:uiPriority w:val="4"/>
    <w:qFormat/>
    <w:rsid w:val="00df027c"/>
    <w:pPr>
      <w:keepNext w:val="true"/>
      <w:spacing w:lineRule="auto" w:line="240" w:before="0" w:after="240"/>
      <w:outlineLvl w:val="1"/>
    </w:pPr>
    <w:rPr>
      <w:rFonts w:eastAsia="" w:cs="" w:cstheme="majorBidi" w:eastAsiaTheme="majorEastAsia"/>
      <w:b w:val="false"/>
      <w:sz w:val="36"/>
      <w:szCs w:val="26"/>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TitleChar" w:customStyle="1">
    <w:name w:val="Title Char"/>
    <w:basedOn w:val="DefaultParagraphFont"/>
    <w:link w:val="Title"/>
    <w:uiPriority w:val="1"/>
    <w:qFormat/>
    <w:rsid w:val="00d86945"/>
    <w:rPr>
      <w:rFonts w:ascii="Arial" w:hAnsi="Arial" w:eastAsia="" w:cs="" w:asciiTheme="majorHAnsi" w:cstheme="majorBidi" w:eastAsiaTheme="majorEastAsia" w:hAnsiTheme="majorHAnsi"/>
      <w:b/>
      <w:bCs/>
      <w:color w:val="082A75" w:themeColor="text2"/>
      <w:sz w:val="72"/>
      <w:szCs w:val="52"/>
    </w:rPr>
  </w:style>
  <w:style w:type="character" w:styleId="SubtitleChar" w:customStyle="1">
    <w:name w:val="Subtitle Char"/>
    <w:basedOn w:val="DefaultParagraphFont"/>
    <w:link w:val="Subtitle"/>
    <w:uiPriority w:val="2"/>
    <w:qFormat/>
    <w:rsid w:val="00d86945"/>
    <w:rPr>
      <w:rFonts w:eastAsia="" w:eastAsiaTheme="minorEastAsia"/>
      <w:caps/>
      <w:color w:val="082A75" w:themeColor="text2"/>
      <w:spacing w:val="20"/>
      <w:sz w:val="32"/>
      <w:szCs w:val="22"/>
    </w:rPr>
  </w:style>
  <w:style w:type="character" w:styleId="Heading1Char" w:customStyle="1">
    <w:name w:val="Heading 1 Char"/>
    <w:basedOn w:val="DefaultParagraphFont"/>
    <w:link w:val="Heading1"/>
    <w:uiPriority w:val="4"/>
    <w:qFormat/>
    <w:rsid w:val="00d077e9"/>
    <w:rPr>
      <w:rFonts w:ascii="Arial" w:hAnsi="Arial" w:eastAsia="" w:cs="" w:asciiTheme="majorHAnsi" w:cstheme="majorBidi" w:eastAsiaTheme="majorEastAsia" w:hAnsiTheme="majorHAnsi"/>
      <w:b/>
      <w:color w:val="061F57" w:themeColor="text2" w:themeShade="bf"/>
      <w:kern w:val="2"/>
      <w:sz w:val="52"/>
      <w:szCs w:val="32"/>
    </w:rPr>
  </w:style>
  <w:style w:type="character" w:styleId="HeaderChar" w:customStyle="1">
    <w:name w:val="Header Char"/>
    <w:basedOn w:val="DefaultParagraphFont"/>
    <w:link w:val="Header"/>
    <w:uiPriority w:val="8"/>
    <w:qFormat/>
    <w:rsid w:val="005d55b2"/>
    <w:rPr>
      <w:rFonts w:eastAsia="" w:eastAsiaTheme="minorEastAsia"/>
      <w:b/>
      <w:color w:val="082A75" w:themeColor="text2"/>
      <w:sz w:val="22"/>
      <w:szCs w:val="22"/>
    </w:rPr>
  </w:style>
  <w:style w:type="character" w:styleId="FooterChar" w:customStyle="1">
    <w:name w:val="Footer Char"/>
    <w:basedOn w:val="DefaultParagraphFont"/>
    <w:link w:val="Footer"/>
    <w:uiPriority w:val="99"/>
    <w:qFormat/>
    <w:rsid w:val="005037f0"/>
    <w:rPr>
      <w:sz w:val="24"/>
      <w:szCs w:val="24"/>
    </w:rPr>
  </w:style>
  <w:style w:type="character" w:styleId="Heading2Char" w:customStyle="1">
    <w:name w:val="Heading 2 Char"/>
    <w:basedOn w:val="DefaultParagraphFont"/>
    <w:link w:val="Heading2"/>
    <w:uiPriority w:val="4"/>
    <w:qFormat/>
    <w:rsid w:val="00df027c"/>
    <w:rPr>
      <w:rFonts w:eastAsia="" w:cs="" w:cstheme="majorBidi" w:eastAsiaTheme="majorEastAsia"/>
      <w:color w:val="082A75" w:themeColor="text2"/>
      <w:sz w:val="36"/>
      <w:szCs w:val="26"/>
    </w:rPr>
  </w:style>
  <w:style w:type="character" w:styleId="PlaceholderText">
    <w:name w:val="Placeholder Text"/>
    <w:basedOn w:val="DefaultParagraphFont"/>
    <w:uiPriority w:val="99"/>
    <w:unhideWhenUsed/>
    <w:qFormat/>
    <w:rsid w:val="00d86945"/>
    <w:rPr>
      <w:color w:val="808080"/>
    </w:rPr>
  </w:style>
  <w:style w:type="character" w:styleId="Carcterdecontenido" w:customStyle="1">
    <w:name w:val="Carácter de contenido"/>
    <w:basedOn w:val="DefaultParagraphFont"/>
    <w:link w:val="Contenido"/>
    <w:qFormat/>
    <w:rsid w:val="00df027c"/>
    <w:rPr>
      <w:rFonts w:eastAsia="" w:eastAsiaTheme="minorEastAsia"/>
      <w:color w:val="082A75" w:themeColor="text2"/>
      <w:sz w:val="28"/>
      <w:szCs w:val="22"/>
    </w:rPr>
  </w:style>
  <w:style w:type="character" w:styleId="Carcterdetextodestacado" w:customStyle="1">
    <w:name w:val="Carácter de texto destacado"/>
    <w:basedOn w:val="DefaultParagraphFont"/>
    <w:link w:val="Textodestacado"/>
    <w:qFormat/>
    <w:rsid w:val="00df027c"/>
    <w:rPr>
      <w:rFonts w:eastAsia="" w:eastAsiaTheme="minorEastAsia"/>
      <w:b/>
      <w:color w:val="082A75" w:themeColor="text2"/>
      <w:sz w:val="28"/>
      <w:szCs w:val="22"/>
    </w:rPr>
  </w:style>
  <w:style w:type="character" w:styleId="Smbolosdenumeracin">
    <w:name w:val="Símbolos de numeración"/>
    <w:qFormat/>
    <w:rPr/>
  </w:style>
  <w:style w:type="character" w:styleId="Vietas">
    <w:name w:val="Viñetas"/>
    <w:qFormat/>
    <w:rPr>
      <w:rFonts w:ascii="OpenSymbol" w:hAnsi="OpenSymbol" w:eastAsia="OpenSymbol" w:cs="OpenSymbol"/>
      <w:color w:val="000000"/>
      <w:sz w:val="28"/>
      <w:szCs w:val="28"/>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Ttulogeneral">
    <w:name w:val="Title"/>
    <w:basedOn w:val="Normal"/>
    <w:link w:val="TitleChar"/>
    <w:uiPriority w:val="1"/>
    <w:qFormat/>
    <w:rsid w:val="00d86945"/>
    <w:pPr>
      <w:spacing w:lineRule="auto" w:line="240" w:before="0" w:after="200"/>
    </w:pPr>
    <w:rPr>
      <w:rFonts w:ascii="Arial" w:hAnsi="Arial" w:eastAsia="" w:cs="" w:asciiTheme="majorHAnsi" w:cstheme="majorBidi" w:eastAsiaTheme="majorEastAsia" w:hAnsiTheme="majorHAnsi"/>
      <w:bCs/>
      <w:sz w:val="72"/>
      <w:szCs w:val="52"/>
    </w:rPr>
  </w:style>
  <w:style w:type="paragraph" w:styleId="Subttulo">
    <w:name w:val="Subtitle"/>
    <w:basedOn w:val="Normal"/>
    <w:link w:val="SubtitleChar"/>
    <w:uiPriority w:val="2"/>
    <w:qFormat/>
    <w:rsid w:val="00d86945"/>
    <w:pPr/>
    <w:rPr>
      <w:b w:val="false"/>
      <w:caps/>
      <w:spacing w:val="20"/>
      <w:sz w:val="32"/>
    </w:rPr>
  </w:style>
  <w:style w:type="paragraph" w:styleId="Cabeceraypie">
    <w:name w:val="Cabecera y pie"/>
    <w:basedOn w:val="Normal"/>
    <w:qFormat/>
    <w:pPr/>
    <w:rPr/>
  </w:style>
  <w:style w:type="paragraph" w:styleId="Cabecera">
    <w:name w:val="Header"/>
    <w:basedOn w:val="Normal"/>
    <w:link w:val="HeaderChar"/>
    <w:uiPriority w:val="8"/>
    <w:unhideWhenUsed/>
    <w:rsid w:val="005d55b2"/>
    <w:pPr/>
    <w:rPr>
      <w:sz w:val="22"/>
    </w:rPr>
  </w:style>
  <w:style w:type="paragraph" w:styleId="Piedepgina">
    <w:name w:val="Footer"/>
    <w:basedOn w:val="Normal"/>
    <w:link w:val="FooterChar"/>
    <w:uiPriority w:val="99"/>
    <w:unhideWhenUsed/>
    <w:rsid w:val="005037f0"/>
    <w:pPr/>
    <w:rPr/>
  </w:style>
  <w:style w:type="paragraph" w:styleId="Nombre" w:customStyle="1">
    <w:name w:val="Nombre"/>
    <w:basedOn w:val="Normal"/>
    <w:uiPriority w:val="3"/>
    <w:qFormat/>
    <w:rsid w:val="00b231e5"/>
    <w:pPr>
      <w:spacing w:lineRule="auto" w:line="240"/>
      <w:jc w:val="right"/>
    </w:pPr>
    <w:rPr/>
  </w:style>
  <w:style w:type="paragraph" w:styleId="Contenido" w:customStyle="1">
    <w:name w:val="Contenido"/>
    <w:basedOn w:val="Normal"/>
    <w:link w:val="Carcterdecontenido"/>
    <w:qFormat/>
    <w:rsid w:val="00df027c"/>
    <w:pPr/>
    <w:rPr>
      <w:b w:val="false"/>
      <w:sz w:val="24"/>
    </w:rPr>
  </w:style>
  <w:style w:type="paragraph" w:styleId="Textodestacado" w:customStyle="1">
    <w:name w:val="Texto destacado"/>
    <w:basedOn w:val="Normal"/>
    <w:link w:val="Carcterdetextodestacado"/>
    <w:qFormat/>
    <w:rsid w:val="00df027c"/>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coto.2018@alumnos.urjc.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TM16392850</Template>
  <TotalTime>23</TotalTime>
  <Application>LibreOffice/6.4.7.2$Linux_X86_64 LibreOffice_project/40$Build-2</Application>
  <Pages>9</Pages>
  <Words>1513</Words>
  <Characters>8523</Characters>
  <CharactersWithSpaces>9797</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2021-11-03T10:52:56Z</dcterms:created>
  <dc:creator>Hugo Coto González</dc:creator>
  <dc:description/>
  <dc:language>es-ES</dc:language>
  <cp:lastModifiedBy/>
  <dcterms:modified xsi:type="dcterms:W3CDTF">2021-11-16T21:16:21Z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