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" w:right="350" w:firstLine="32"/>
        <w:spacing w:before="98" w:line="178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Tahoma" w:hAnsi="Tahoma" w:eastAsia="Tahoma" w:cs="Tahoma"/>
          <w:sz w:val="43"/>
          <w:szCs w:val="43"/>
          <w:b/>
          <w:bCs/>
          <w:color w:val="333333"/>
        </w:rPr>
        <w:t>DermaIntegrate</w:t>
      </w:r>
      <w:r>
        <w:rPr>
          <w:rFonts w:ascii="Tahoma" w:hAnsi="Tahoma" w:eastAsia="Tahoma" w:cs="Tahoma"/>
          <w:sz w:val="43"/>
          <w:szCs w:val="43"/>
          <w:b/>
          <w:bCs/>
          <w:color w:val="333333"/>
          <w:spacing w:val="3"/>
        </w:rPr>
        <w:t>: 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  <w:spacing w:val="3"/>
        </w:rPr>
        <w:t>皮肤病多源数据集成与智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  <w:spacing w:val="7"/>
        </w:rPr>
        <w:t>能辅助诊断平台</w:t>
      </w:r>
    </w:p>
    <w:p>
      <w:pPr>
        <w:spacing w:line="41" w:lineRule="exact"/>
        <w:rPr/>
      </w:pPr>
      <w:r/>
    </w:p>
    <w:tbl>
      <w:tblPr>
        <w:tblStyle w:val="TableNormal"/>
        <w:tblW w:w="891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14"/>
      </w:tblGrid>
      <w:tr>
        <w:trPr>
          <w:trHeight w:val="1346" w:hRule="atLeast"/>
        </w:trPr>
        <w:tc>
          <w:tcPr>
            <w:tcW w:w="8914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3"/>
              <w:spacing w:before="254" w:line="187" w:lineRule="auto"/>
              <w:rPr>
                <w:rFonts w:ascii="Tahoma" w:hAnsi="Tahoma" w:eastAsia="Tahoma" w:cs="Tahoma"/>
              </w:rPr>
            </w:pPr>
            <w:r>
              <w:rPr>
                <w:b/>
                <w:bCs/>
                <w:color w:val="333333"/>
                <w:spacing w:val="9"/>
              </w:rPr>
              <w:t>许可协议</w:t>
            </w:r>
            <w:r>
              <w:rPr>
                <w:color w:val="333333"/>
                <w:spacing w:val="9"/>
              </w:rPr>
              <w:t>：</w:t>
            </w:r>
            <w:r>
              <w:rPr>
                <w:color w:val="333333"/>
                <w:spacing w:val="-31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MIT</w:t>
            </w:r>
            <w:r>
              <w:rPr>
                <w:rFonts w:ascii="Tahoma" w:hAnsi="Tahoma" w:eastAsia="Tahoma" w:cs="Tahoma"/>
                <w:color w:val="333333"/>
                <w:spacing w:val="9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License</w:t>
            </w:r>
          </w:p>
          <w:p>
            <w:pPr>
              <w:pStyle w:val="TableText"/>
              <w:ind w:left="2"/>
              <w:spacing w:before="8" w:line="225" w:lineRule="auto"/>
              <w:rPr>
                <w:rFonts w:ascii="Tahoma" w:hAnsi="Tahoma" w:eastAsia="Tahoma" w:cs="Tahoma"/>
              </w:rPr>
            </w:pPr>
            <w:r>
              <w:rPr>
                <w:b/>
                <w:bCs/>
                <w:color w:val="333333"/>
                <w:spacing w:val="2"/>
              </w:rPr>
              <w:t>运行环境</w:t>
            </w:r>
            <w:r>
              <w:rPr>
                <w:color w:val="333333"/>
                <w:spacing w:val="2"/>
              </w:rPr>
              <w:t>：</w:t>
            </w:r>
            <w:r>
              <w:rPr>
                <w:color w:val="333333"/>
                <w:spacing w:val="-28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Python</w:t>
            </w:r>
            <w:r>
              <w:rPr>
                <w:rFonts w:ascii="Tahoma" w:hAnsi="Tahoma" w:eastAsia="Tahoma" w:cs="Tahoma"/>
                <w:color w:val="333333"/>
                <w:spacing w:val="2"/>
              </w:rPr>
              <w:t xml:space="preserve"> 3.10+ /</w:t>
            </w:r>
            <w:r>
              <w:rPr>
                <w:rFonts w:ascii="Tahoma" w:hAnsi="Tahoma" w:eastAsia="Tahoma" w:cs="Tahoma"/>
                <w:color w:val="333333"/>
                <w:spacing w:val="-24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Java</w:t>
            </w:r>
            <w:r>
              <w:rPr>
                <w:rFonts w:ascii="Tahoma" w:hAnsi="Tahoma" w:eastAsia="Tahoma" w:cs="Tahoma"/>
                <w:color w:val="333333"/>
                <w:spacing w:val="2"/>
              </w:rPr>
              <w:t xml:space="preserve"> 17+ / </w:t>
            </w:r>
            <w:r>
              <w:rPr>
                <w:rFonts w:ascii="Tahoma" w:hAnsi="Tahoma" w:eastAsia="Tahoma" w:cs="Tahoma"/>
                <w:color w:val="333333"/>
              </w:rPr>
              <w:t>Node</w:t>
            </w:r>
            <w:r>
              <w:rPr>
                <w:rFonts w:ascii="Tahoma" w:hAnsi="Tahoma" w:eastAsia="Tahoma" w:cs="Tahoma"/>
                <w:color w:val="333333"/>
                <w:spacing w:val="2"/>
              </w:rPr>
              <w:t xml:space="preserve"> 18+</w:t>
            </w:r>
          </w:p>
          <w:p>
            <w:pPr>
              <w:pStyle w:val="TableText"/>
              <w:ind w:left="3"/>
              <w:spacing w:before="31" w:line="188" w:lineRule="auto"/>
              <w:rPr/>
            </w:pPr>
            <w:r>
              <w:rPr>
                <w:b/>
                <w:bCs/>
                <w:color w:val="333333"/>
                <w:spacing w:val="2"/>
              </w:rPr>
              <w:t>协作范式</w:t>
            </w:r>
            <w:r>
              <w:rPr>
                <w:color w:val="333333"/>
                <w:spacing w:val="2"/>
              </w:rPr>
              <w:t>：契约驱动开发， </w:t>
            </w:r>
            <w:r>
              <w:rPr>
                <w:rFonts w:ascii="Tahoma" w:hAnsi="Tahoma" w:eastAsia="Tahoma" w:cs="Tahoma"/>
                <w:color w:val="333333"/>
              </w:rPr>
              <w:t>Kiko</w:t>
            </w:r>
            <w:r>
              <w:rPr>
                <w:rFonts w:ascii="Tahoma" w:hAnsi="Tahoma" w:eastAsia="Tahoma" w:cs="Tahoma"/>
                <w:color w:val="333333"/>
                <w:spacing w:val="-24"/>
              </w:rPr>
              <w:t xml:space="preserve"> </w:t>
            </w:r>
            <w:r>
              <w:rPr>
                <w:color w:val="333333"/>
                <w:spacing w:val="2"/>
              </w:rPr>
              <w:t>（智能管道）与 </w:t>
            </w:r>
            <w:r>
              <w:rPr>
                <w:rFonts w:ascii="Tahoma" w:hAnsi="Tahoma" w:eastAsia="Tahoma" w:cs="Tahoma"/>
                <w:color w:val="333333"/>
              </w:rPr>
              <w:t>Sun</w:t>
            </w:r>
            <w:r>
              <w:rPr>
                <w:rFonts w:ascii="Tahoma" w:hAnsi="Tahoma" w:eastAsia="Tahoma" w:cs="Tahoma"/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（应用平台）领域正交、高度并行</w:t>
            </w:r>
          </w:p>
        </w:tc>
      </w:tr>
      <w:tr>
        <w:trPr>
          <w:trHeight w:val="741" w:hRule="atLeast"/>
        </w:trPr>
        <w:tc>
          <w:tcPr>
            <w:tcW w:w="8914" w:type="dxa"/>
            <w:vAlign w:val="top"/>
            <w:tcBorders>
              <w:top w:val="single" w:color="E7E7E7" w:sz="12" w:space="0"/>
              <w:bottom w:val="single" w:color="EEEEEE" w:sz="6" w:space="0"/>
            </w:tcBorders>
          </w:tcPr>
          <w:p>
            <w:pPr>
              <w:pStyle w:val="TableText"/>
              <w:ind w:left="4"/>
              <w:spacing w:before="198" w:line="219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color w:val="333333"/>
                <w:spacing w:val="1"/>
              </w:rPr>
              <w:t>摘要                       </w:t>
            </w:r>
            <w:r>
              <w:rPr>
                <w:sz w:val="34"/>
                <w:szCs w:val="34"/>
                <w:b/>
                <w:bCs/>
                <w:color w:val="333333"/>
              </w:rPr>
              <w:t xml:space="preserve">                                                         </w:t>
            </w:r>
            <w:hyperlink w:history="true" r:id="rId1">
              <w:r>
                <w:rPr>
                  <w:sz w:val="34"/>
                  <w:szCs w:val="34"/>
                  <w:b/>
                  <w:bCs/>
                  <w:color w:val="333333"/>
                </w:rPr>
                <w:t xml:space="preserve"> </w:t>
              </w:r>
            </w:hyperlink>
          </w:p>
        </w:tc>
      </w:tr>
      <w:tr>
        <w:trPr>
          <w:trHeight w:val="1937" w:hRule="atLeast"/>
        </w:trPr>
        <w:tc>
          <w:tcPr>
            <w:tcW w:w="8914" w:type="dxa"/>
            <w:vAlign w:val="top"/>
            <w:tcBorders>
              <w:bottom w:val="single" w:color="E7E7E7" w:sz="12" w:space="0"/>
              <w:top w:val="single" w:color="EEEEEE" w:sz="6" w:space="0"/>
            </w:tcBorders>
          </w:tcPr>
          <w:p>
            <w:pPr>
              <w:pStyle w:val="TableText"/>
              <w:ind w:left="1" w:right="128" w:firstLine="1"/>
              <w:spacing w:before="250" w:line="224" w:lineRule="auto"/>
              <w:rPr/>
            </w:pPr>
            <w:r>
              <w:rPr>
                <w:color w:val="333333"/>
                <w:spacing w:val="5"/>
              </w:rPr>
              <w:t>本项目面向皮肤病专科门诊，旨在解决传统医疗信息系统与</w:t>
            </w:r>
            <w:r>
              <w:rPr>
                <w:rFonts w:ascii="Tahoma" w:hAnsi="Tahoma" w:eastAsia="Tahoma" w:cs="Tahoma"/>
                <w:color w:val="333333"/>
              </w:rPr>
              <w:t>AI</w:t>
            </w:r>
            <w:r>
              <w:rPr>
                <w:color w:val="333333"/>
                <w:spacing w:val="5"/>
              </w:rPr>
              <w:t>推理系统紧耦合导致的</w:t>
            </w:r>
            <w:r>
              <w:rPr>
                <w:color w:val="333333"/>
                <w:spacing w:val="4"/>
              </w:rPr>
              <w:t>计算阻塞、前端重</w:t>
            </w:r>
            <w:r>
              <w:rPr>
                <w:color w:val="333333"/>
                <w:spacing w:val="6"/>
              </w:rPr>
              <w:t>度渲染</w:t>
            </w:r>
            <w:r>
              <w:rPr>
                <w:rFonts w:ascii="Tahoma" w:hAnsi="Tahoma" w:eastAsia="Tahoma" w:cs="Tahoma"/>
                <w:color w:val="333333"/>
              </w:rPr>
              <w:t>DICOM</w:t>
            </w:r>
            <w:r>
              <w:rPr>
                <w:color w:val="333333"/>
                <w:spacing w:val="6"/>
              </w:rPr>
              <w:t>导致的交互延迟，以及纯大模型推理存在的不可解释性与幻觉风险。平台基于领域驱动</w:t>
            </w:r>
            <w:r>
              <w:rPr>
                <w:color w:val="333333"/>
                <w:spacing w:val="7"/>
              </w:rPr>
              <w:t>设计（</w:t>
            </w:r>
            <w:r>
              <w:rPr>
                <w:rFonts w:ascii="Tahoma" w:hAnsi="Tahoma" w:eastAsia="Tahoma" w:cs="Tahoma"/>
                <w:color w:val="333333"/>
              </w:rPr>
              <w:t>DDD</w:t>
            </w:r>
            <w:r>
              <w:rPr>
                <w:color w:val="333333"/>
                <w:spacing w:val="8"/>
              </w:rPr>
              <w:t>），</w:t>
            </w:r>
            <w:r>
              <w:rPr>
                <w:color w:val="333333"/>
                <w:spacing w:val="7"/>
              </w:rPr>
              <w:t>采用视觉双轨防幻觉策略（自训练</w:t>
            </w:r>
            <w:r>
              <w:rPr>
                <w:rFonts w:ascii="Tahoma" w:hAnsi="Tahoma" w:eastAsia="Tahoma" w:cs="Tahoma"/>
                <w:color w:val="333333"/>
              </w:rPr>
              <w:t>CNN</w:t>
            </w:r>
            <w:r>
              <w:rPr>
                <w:color w:val="333333"/>
                <w:spacing w:val="7"/>
              </w:rPr>
              <w:t>特征锚定 </w:t>
            </w:r>
            <w:r>
              <w:rPr>
                <w:rFonts w:ascii="Tahoma" w:hAnsi="Tahoma" w:eastAsia="Tahoma" w:cs="Tahoma"/>
                <w:color w:val="333333"/>
                <w:spacing w:val="7"/>
              </w:rPr>
              <w:t>+</w:t>
            </w:r>
            <w:r>
              <w:rPr>
                <w:rFonts w:ascii="Tahoma" w:hAnsi="Tahoma" w:eastAsia="Tahoma" w:cs="Tahoma"/>
                <w:color w:val="333333"/>
                <w:spacing w:val="-6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VLM</w:t>
            </w:r>
            <w:r>
              <w:rPr>
                <w:color w:val="333333"/>
                <w:spacing w:val="7"/>
              </w:rPr>
              <w:t>语义推理</w:t>
            </w:r>
            <w:r>
              <w:rPr>
                <w:color w:val="333333"/>
                <w:spacing w:val="8"/>
              </w:rPr>
              <w:t>），</w:t>
            </w:r>
            <w:r>
              <w:rPr>
                <w:color w:val="333333"/>
                <w:spacing w:val="7"/>
              </w:rPr>
              <w:t>对接</w:t>
            </w:r>
            <w:r>
              <w:rPr>
                <w:rFonts w:ascii="Tahoma" w:hAnsi="Tahoma" w:eastAsia="Tahoma" w:cs="Tahoma"/>
                <w:color w:val="333333"/>
              </w:rPr>
              <w:t>FHIR</w:t>
            </w:r>
            <w:r>
              <w:rPr>
                <w:rFonts w:ascii="Tahoma" w:hAnsi="Tahoma" w:eastAsia="Tahoma" w:cs="Tahoma"/>
                <w:color w:val="333333"/>
                <w:spacing w:val="7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R</w:t>
            </w:r>
            <w:r>
              <w:rPr>
                <w:rFonts w:ascii="Tahoma" w:hAnsi="Tahoma" w:eastAsia="Tahoma" w:cs="Tahoma"/>
                <w:color w:val="333333"/>
                <w:spacing w:val="7"/>
              </w:rPr>
              <w:t>4</w:t>
            </w:r>
            <w:r>
              <w:rPr>
                <w:color w:val="333333"/>
                <w:spacing w:val="7"/>
              </w:rPr>
              <w:t>医疗</w:t>
            </w:r>
            <w:r>
              <w:rPr>
                <w:color w:val="333333"/>
                <w:spacing w:val="7"/>
              </w:rPr>
              <w:t>互联互通标准，通过</w:t>
            </w:r>
            <w:r>
              <w:rPr>
                <w:rFonts w:ascii="Tahoma" w:hAnsi="Tahoma" w:eastAsia="Tahoma" w:cs="Tahoma"/>
                <w:color w:val="333333"/>
              </w:rPr>
              <w:t>Multi</w:t>
            </w:r>
            <w:r>
              <w:rPr>
                <w:rFonts w:ascii="Tahoma" w:hAnsi="Tahoma" w:eastAsia="Tahoma" w:cs="Tahoma"/>
                <w:color w:val="333333"/>
                <w:spacing w:val="7"/>
              </w:rPr>
              <w:t>-</w:t>
            </w:r>
            <w:r>
              <w:rPr>
                <w:rFonts w:ascii="Tahoma" w:hAnsi="Tahoma" w:eastAsia="Tahoma" w:cs="Tahoma"/>
                <w:color w:val="333333"/>
              </w:rPr>
              <w:t>Agent</w:t>
            </w:r>
            <w:r>
              <w:rPr>
                <w:color w:val="333333"/>
                <w:spacing w:val="7"/>
              </w:rPr>
              <w:t>架构提供皮肤镜影像与临床特征的综合诊断建议。系统从物理层面隔</w:t>
            </w:r>
            <w:r>
              <w:rPr>
                <w:color w:val="333333"/>
                <w:spacing w:val="1"/>
              </w:rPr>
              <w:t>离</w:t>
            </w:r>
            <w:r>
              <w:rPr>
                <w:rFonts w:ascii="Tahoma" w:hAnsi="Tahoma" w:eastAsia="Tahoma" w:cs="Tahoma"/>
                <w:color w:val="333333"/>
                <w:spacing w:val="1"/>
              </w:rPr>
              <w:t>“</w:t>
            </w:r>
            <w:r>
              <w:rPr>
                <w:color w:val="333333"/>
                <w:spacing w:val="1"/>
              </w:rPr>
              <w:t>智能管道域</w:t>
            </w:r>
            <w:r>
              <w:rPr>
                <w:rFonts w:ascii="Tahoma" w:hAnsi="Tahoma" w:eastAsia="Tahoma" w:cs="Tahoma"/>
                <w:color w:val="333333"/>
                <w:spacing w:val="1"/>
              </w:rPr>
              <w:t>”</w:t>
            </w:r>
            <w:r>
              <w:rPr>
                <w:color w:val="333333"/>
                <w:spacing w:val="1"/>
              </w:rPr>
              <w:t>与</w:t>
            </w:r>
            <w:r>
              <w:rPr>
                <w:rFonts w:ascii="Tahoma" w:hAnsi="Tahoma" w:eastAsia="Tahoma" w:cs="Tahoma"/>
                <w:color w:val="333333"/>
                <w:spacing w:val="1"/>
              </w:rPr>
              <w:t>“</w:t>
            </w:r>
            <w:r>
              <w:rPr>
                <w:color w:val="333333"/>
                <w:spacing w:val="1"/>
              </w:rPr>
              <w:t>应用平台域</w:t>
            </w:r>
            <w:r>
              <w:rPr>
                <w:rFonts w:ascii="Tahoma" w:hAnsi="Tahoma" w:eastAsia="Tahoma" w:cs="Tahoma"/>
                <w:color w:val="333333"/>
                <w:spacing w:val="1"/>
              </w:rPr>
              <w:t>”</w:t>
            </w:r>
            <w:r>
              <w:rPr>
                <w:color w:val="333333"/>
                <w:spacing w:val="1"/>
              </w:rPr>
              <w:t>，构建高可用、可解释、 </w:t>
            </w:r>
            <w:r>
              <w:rPr>
                <w:rFonts w:ascii="Tahoma" w:hAnsi="Tahoma" w:eastAsia="Tahoma" w:cs="Tahoma"/>
                <w:color w:val="333333"/>
              </w:rPr>
              <w:t>AI</w:t>
            </w:r>
            <w:r>
              <w:rPr>
                <w:color w:val="333333"/>
                <w:spacing w:val="1"/>
              </w:rPr>
              <w:t>与工程深度解耦的医疗数字化范例。</w:t>
            </w:r>
          </w:p>
        </w:tc>
      </w:tr>
      <w:tr>
        <w:trPr>
          <w:trHeight w:val="733" w:hRule="atLeast"/>
        </w:trPr>
        <w:tc>
          <w:tcPr>
            <w:tcW w:w="8914" w:type="dxa"/>
            <w:vAlign w:val="top"/>
            <w:tcBorders>
              <w:top w:val="single" w:color="E7E7E7" w:sz="12" w:space="0"/>
              <w:bottom w:val="single" w:color="EEEEEE" w:sz="6" w:space="0"/>
            </w:tcBorders>
          </w:tcPr>
          <w:p>
            <w:pPr>
              <w:pStyle w:val="TableText"/>
              <w:ind w:left="19"/>
              <w:spacing w:before="207" w:line="212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color w:val="333333"/>
                <w:spacing w:val="-1"/>
              </w:rPr>
              <w:t>问题定义与方法映射</w:t>
            </w:r>
            <w:r>
              <w:rPr>
                <w:sz w:val="34"/>
                <w:szCs w:val="34"/>
                <w:b/>
                <w:bCs/>
                <w:color w:val="333333"/>
                <w:spacing w:val="2"/>
              </w:rPr>
              <w:t xml:space="preserve">                        </w:t>
            </w:r>
            <w:r>
              <w:rPr>
                <w:sz w:val="34"/>
                <w:szCs w:val="34"/>
                <w:b/>
                <w:bCs/>
                <w:color w:val="333333"/>
                <w:spacing w:val="1"/>
              </w:rPr>
              <w:t xml:space="preserve">                                </w:t>
            </w:r>
            <w:hyperlink w:history="true" r:id="rId2">
              <w:r>
                <w:rPr>
                  <w:sz w:val="34"/>
                  <w:szCs w:val="34"/>
                  <w:b/>
                  <w:bCs/>
                  <w:color w:val="333333"/>
                  <w:spacing w:val="1"/>
                </w:rPr>
                <w:t xml:space="preserve"> </w:t>
              </w:r>
            </w:hyperlink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899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734"/>
        <w:gridCol w:w="6165"/>
      </w:tblGrid>
      <w:tr>
        <w:trPr>
          <w:trHeight w:val="488" w:hRule="atLeast"/>
        </w:trPr>
        <w:tc>
          <w:tcPr>
            <w:shd w:val="clear" w:fill="F8F8F8"/>
            <w:tcW w:w="2734" w:type="dxa"/>
            <w:vAlign w:val="top"/>
          </w:tcPr>
          <w:p>
            <w:pPr>
              <w:pStyle w:val="TableText"/>
              <w:ind w:left="197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现有痛点</w:t>
            </w:r>
          </w:p>
        </w:tc>
        <w:tc>
          <w:tcPr>
            <w:shd w:val="clear" w:fill="F8F8F8"/>
            <w:tcW w:w="6165" w:type="dxa"/>
            <w:vAlign w:val="top"/>
          </w:tcPr>
          <w:p>
            <w:pPr>
              <w:pStyle w:val="TableText"/>
              <w:ind w:left="194"/>
              <w:spacing w:before="147" w:line="188" w:lineRule="auto"/>
              <w:rPr/>
            </w:pPr>
            <w:r>
              <w:rPr>
                <w:b/>
                <w:bCs/>
                <w:color w:val="333333"/>
                <w:spacing w:val="4"/>
              </w:rPr>
              <w:t>本平台解决方案</w:t>
            </w:r>
          </w:p>
        </w:tc>
      </w:tr>
      <w:tr>
        <w:trPr>
          <w:trHeight w:val="1080" w:hRule="atLeast"/>
        </w:trPr>
        <w:tc>
          <w:tcPr>
            <w:tcW w:w="2734" w:type="dxa"/>
            <w:vAlign w:val="top"/>
          </w:tcPr>
          <w:p>
            <w:pPr>
              <w:pStyle w:val="TableText"/>
              <w:ind w:left="198" w:right="374" w:hanging="1"/>
              <w:spacing w:before="292" w:line="231" w:lineRule="auto"/>
              <w:rPr/>
            </w:pPr>
            <w:r>
              <w:rPr>
                <w:color w:val="333333"/>
                <w:spacing w:val="9"/>
              </w:rPr>
              <w:t>纯</w:t>
            </w:r>
            <w:r>
              <w:rPr>
                <w:rFonts w:ascii="Tahoma" w:hAnsi="Tahoma" w:eastAsia="Tahoma" w:cs="Tahoma"/>
                <w:color w:val="333333"/>
              </w:rPr>
              <w:t>VLM</w:t>
            </w:r>
            <w:r>
              <w:rPr>
                <w:color w:val="333333"/>
                <w:spacing w:val="9"/>
              </w:rPr>
              <w:t>大模型诊断存在不</w:t>
            </w:r>
            <w:r>
              <w:rPr>
                <w:color w:val="333333"/>
                <w:spacing w:val="4"/>
              </w:rPr>
              <w:t>可解释性与概率幻觉风险</w:t>
            </w:r>
          </w:p>
        </w:tc>
        <w:tc>
          <w:tcPr>
            <w:tcW w:w="6165" w:type="dxa"/>
            <w:vAlign w:val="top"/>
          </w:tcPr>
          <w:p>
            <w:pPr>
              <w:pStyle w:val="TableText"/>
              <w:ind w:left="194" w:right="313"/>
              <w:spacing w:before="140" w:line="228" w:lineRule="auto"/>
              <w:rPr/>
            </w:pPr>
            <w:r>
              <w:rPr>
                <w:b/>
                <w:bCs/>
                <w:color w:val="333333"/>
                <w:spacing w:val="11"/>
              </w:rPr>
              <w:t>视觉双轨约束</w:t>
            </w:r>
            <w:r>
              <w:rPr>
                <w:color w:val="333333"/>
                <w:spacing w:val="11"/>
              </w:rPr>
              <w:t>：自训练</w:t>
            </w:r>
            <w:r>
              <w:rPr>
                <w:rFonts w:ascii="Tahoma" w:hAnsi="Tahoma" w:eastAsia="Tahoma" w:cs="Tahoma"/>
                <w:color w:val="333333"/>
              </w:rPr>
              <w:t>CNN</w:t>
            </w:r>
            <w:r>
              <w:rPr>
                <w:color w:val="333333"/>
                <w:spacing w:val="11"/>
              </w:rPr>
              <w:t>生成</w:t>
            </w:r>
            <w:r>
              <w:rPr>
                <w:rFonts w:ascii="Tahoma" w:hAnsi="Tahoma" w:eastAsia="Tahoma" w:cs="Tahoma"/>
                <w:color w:val="333333"/>
              </w:rPr>
              <w:t>Grad</w:t>
            </w:r>
            <w:r>
              <w:rPr>
                <w:rFonts w:ascii="Tahoma" w:hAnsi="Tahoma" w:eastAsia="Tahoma" w:cs="Tahoma"/>
                <w:color w:val="333333"/>
                <w:spacing w:val="11"/>
              </w:rPr>
              <w:t>-</w:t>
            </w:r>
            <w:r>
              <w:rPr>
                <w:rFonts w:ascii="Tahoma" w:hAnsi="Tahoma" w:eastAsia="Tahoma" w:cs="Tahoma"/>
                <w:color w:val="333333"/>
              </w:rPr>
              <w:t>CAM</w:t>
            </w:r>
            <w:r>
              <w:rPr>
                <w:color w:val="333333"/>
                <w:spacing w:val="11"/>
              </w:rPr>
              <w:t>热力图作视觉</w:t>
            </w:r>
            <w:r>
              <w:rPr>
                <w:color w:val="333333"/>
                <w:spacing w:val="10"/>
              </w:rPr>
              <w:t>锚点，强</w:t>
            </w:r>
            <w:r>
              <w:rPr>
                <w:color w:val="333333"/>
                <w:spacing w:val="7"/>
              </w:rPr>
              <w:t>制</w:t>
            </w:r>
            <w:r>
              <w:rPr>
                <w:rFonts w:ascii="Tahoma" w:hAnsi="Tahoma" w:eastAsia="Tahoma" w:cs="Tahoma"/>
                <w:color w:val="333333"/>
              </w:rPr>
              <w:t>VLM</w:t>
            </w:r>
            <w:r>
              <w:rPr>
                <w:color w:val="333333"/>
                <w:spacing w:val="7"/>
              </w:rPr>
              <w:t>语义与之对齐，以传统</w:t>
            </w:r>
            <w:r>
              <w:rPr>
                <w:rFonts w:ascii="Tahoma" w:hAnsi="Tahoma" w:eastAsia="Tahoma" w:cs="Tahoma"/>
                <w:color w:val="333333"/>
              </w:rPr>
              <w:t>CV</w:t>
            </w:r>
            <w:r>
              <w:rPr>
                <w:color w:val="333333"/>
                <w:spacing w:val="7"/>
              </w:rPr>
              <w:t>的确定性约束生成式模型的概率</w:t>
            </w:r>
            <w:r>
              <w:rPr>
                <w:color w:val="333333"/>
                <w:spacing w:val="2"/>
              </w:rPr>
              <w:t>性</w:t>
            </w:r>
          </w:p>
        </w:tc>
      </w:tr>
      <w:tr>
        <w:trPr>
          <w:trHeight w:val="1081" w:hRule="atLeast"/>
        </w:trPr>
        <w:tc>
          <w:tcPr>
            <w:shd w:val="clear" w:fill="F8F8F8"/>
            <w:tcW w:w="2734" w:type="dxa"/>
            <w:vAlign w:val="top"/>
          </w:tcPr>
          <w:p>
            <w:pPr>
              <w:pStyle w:val="TableText"/>
              <w:ind w:left="197" w:right="216" w:firstLine="2"/>
              <w:spacing w:before="104" w:line="235" w:lineRule="auto"/>
              <w:jc w:val="both"/>
              <w:rPr/>
            </w:pPr>
            <w:r>
              <w:rPr>
                <w:color w:val="333333"/>
                <w:spacing w:val="23"/>
              </w:rPr>
              <w:t>前端强依赖</w:t>
            </w:r>
            <w:r>
              <w:rPr>
                <w:rFonts w:ascii="Tahoma" w:hAnsi="Tahoma" w:eastAsia="Tahoma" w:cs="Tahoma"/>
                <w:color w:val="333333"/>
              </w:rPr>
              <w:t>Cornerstone</w:t>
            </w:r>
            <w:r>
              <w:rPr>
                <w:rFonts w:ascii="Tahoma" w:hAnsi="Tahoma" w:eastAsia="Tahoma" w:cs="Tahoma"/>
                <w:color w:val="333333"/>
                <w:spacing w:val="23"/>
              </w:rPr>
              <w:t>.</w:t>
            </w:r>
            <w:r>
              <w:rPr>
                <w:rFonts w:ascii="Tahoma" w:hAnsi="Tahoma" w:eastAsia="Tahoma" w:cs="Tahoma"/>
                <w:color w:val="333333"/>
              </w:rPr>
              <w:t>js</w:t>
            </w:r>
            <w:r>
              <w:rPr>
                <w:color w:val="333333"/>
                <w:spacing w:val="11"/>
              </w:rPr>
              <w:t>解析</w:t>
            </w:r>
            <w:r>
              <w:rPr>
                <w:rFonts w:ascii="Tahoma" w:hAnsi="Tahoma" w:eastAsia="Tahoma" w:cs="Tahoma"/>
                <w:color w:val="333333"/>
              </w:rPr>
              <w:t>DICOM</w:t>
            </w:r>
            <w:r>
              <w:rPr>
                <w:color w:val="333333"/>
                <w:spacing w:val="11"/>
              </w:rPr>
              <w:t>导致渲染性能</w:t>
            </w:r>
            <w:r>
              <w:rPr>
                <w:color w:val="333333"/>
                <w:spacing w:val="3"/>
              </w:rPr>
              <w:t>瓶颈</w:t>
            </w:r>
          </w:p>
        </w:tc>
        <w:tc>
          <w:tcPr>
            <w:shd w:val="clear" w:fill="F8F8F8"/>
            <w:tcW w:w="6165" w:type="dxa"/>
            <w:vAlign w:val="top"/>
          </w:tcPr>
          <w:p>
            <w:pPr>
              <w:pStyle w:val="TableText"/>
              <w:ind w:left="210" w:right="303" w:hanging="17"/>
              <w:spacing w:before="291" w:line="231" w:lineRule="auto"/>
              <w:rPr/>
            </w:pPr>
            <w:r>
              <w:rPr>
                <w:b/>
                <w:bCs/>
                <w:color w:val="333333"/>
                <w:spacing w:val="5"/>
              </w:rPr>
              <w:t>影像渲染优化</w:t>
            </w:r>
            <w:r>
              <w:rPr>
                <w:color w:val="333333"/>
                <w:spacing w:val="5"/>
              </w:rPr>
              <w:t>：基于皮肤镜影像无需调窗的光学特性，后</w:t>
            </w:r>
            <w:r>
              <w:rPr>
                <w:color w:val="333333"/>
                <w:spacing w:val="4"/>
              </w:rPr>
              <w:t>端离线转</w:t>
            </w:r>
            <w:r>
              <w:rPr>
                <w:rFonts w:ascii="Tahoma" w:hAnsi="Tahoma" w:eastAsia="Tahoma" w:cs="Tahoma"/>
                <w:color w:val="333333"/>
              </w:rPr>
              <w:t>PNG</w:t>
            </w:r>
            <w:r>
              <w:rPr>
                <w:rFonts w:ascii="Tahoma" w:hAnsi="Tahoma" w:eastAsia="Tahoma" w:cs="Tahoma"/>
                <w:color w:val="333333"/>
                <w:spacing w:val="4"/>
              </w:rPr>
              <w:t>+</w:t>
            </w:r>
            <w:r>
              <w:rPr>
                <w:color w:val="333333"/>
                <w:spacing w:val="4"/>
              </w:rPr>
              <w:t>前端轻量滑动对比组件，实现合理工程权衡</w:t>
            </w:r>
          </w:p>
        </w:tc>
      </w:tr>
      <w:tr>
        <w:trPr>
          <w:trHeight w:val="780" w:hRule="atLeast"/>
        </w:trPr>
        <w:tc>
          <w:tcPr>
            <w:tcW w:w="2734" w:type="dxa"/>
            <w:vAlign w:val="top"/>
          </w:tcPr>
          <w:p>
            <w:pPr>
              <w:pStyle w:val="TableText"/>
              <w:ind w:left="198" w:right="200" w:hanging="3"/>
              <w:spacing w:before="141" w:line="231" w:lineRule="auto"/>
              <w:rPr/>
            </w:pPr>
            <w:r>
              <w:rPr>
                <w:rFonts w:ascii="Tahoma" w:hAnsi="Tahoma" w:eastAsia="Tahoma" w:cs="Tahoma"/>
                <w:color w:val="333333"/>
              </w:rPr>
              <w:t>AI</w:t>
            </w:r>
            <w:r>
              <w:rPr>
                <w:color w:val="333333"/>
                <w:spacing w:val="4"/>
              </w:rPr>
              <w:t>长连接耗尽业务线程池导</w:t>
            </w:r>
            <w:r>
              <w:rPr>
                <w:color w:val="333333"/>
                <w:spacing w:val="4"/>
              </w:rPr>
              <w:t>致微服务雪崩</w:t>
            </w:r>
          </w:p>
        </w:tc>
        <w:tc>
          <w:tcPr>
            <w:tcW w:w="6165" w:type="dxa"/>
            <w:vAlign w:val="top"/>
          </w:tcPr>
          <w:p>
            <w:pPr>
              <w:pStyle w:val="TableText"/>
              <w:ind w:left="193" w:right="415" w:firstLine="3"/>
              <w:spacing w:before="141" w:line="227" w:lineRule="auto"/>
              <w:rPr/>
            </w:pPr>
            <w:r>
              <w:rPr>
                <w:b/>
                <w:bCs/>
                <w:color w:val="333333"/>
                <w:spacing w:val="4"/>
              </w:rPr>
              <w:t>异步解耦防雪崩</w:t>
            </w:r>
            <w:r>
              <w:rPr>
                <w:color w:val="333333"/>
                <w:spacing w:val="4"/>
              </w:rPr>
              <w:t>：</w:t>
            </w:r>
            <w:r>
              <w:rPr>
                <w:color w:val="333333"/>
                <w:spacing w:val="-25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REST</w:t>
            </w:r>
            <w:r>
              <w:rPr>
                <w:rFonts w:ascii="Tahoma" w:hAnsi="Tahoma" w:eastAsia="Tahoma" w:cs="Tahoma"/>
                <w:color w:val="333333"/>
                <w:spacing w:val="4"/>
              </w:rPr>
              <w:t>+</w:t>
            </w:r>
            <w:r>
              <w:rPr>
                <w:rFonts w:ascii="Tahoma" w:hAnsi="Tahoma" w:eastAsia="Tahoma" w:cs="Tahoma"/>
                <w:color w:val="333333"/>
              </w:rPr>
              <w:t>SSE</w:t>
            </w:r>
            <w:r>
              <w:rPr>
                <w:color w:val="333333"/>
                <w:spacing w:val="4"/>
              </w:rPr>
              <w:t>异步契约解耦，</w:t>
            </w:r>
            <w:r>
              <w:rPr>
                <w:color w:val="333333"/>
                <w:spacing w:val="-35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Java</w:t>
            </w:r>
            <w:r>
              <w:rPr>
                <w:rFonts w:ascii="Tahoma" w:hAnsi="Tahoma" w:eastAsia="Tahoma" w:cs="Tahoma"/>
                <w:color w:val="333333"/>
                <w:spacing w:val="4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WebClient</w:t>
            </w:r>
            <w:r>
              <w:rPr>
                <w:color w:val="333333"/>
                <w:spacing w:val="4"/>
              </w:rPr>
              <w:t>反向</w:t>
            </w:r>
            <w:r>
              <w:rPr>
                <w:color w:val="333333"/>
                <w:spacing w:val="7"/>
              </w:rPr>
              <w:t>代理流，断连即终止</w:t>
            </w:r>
            <w:r>
              <w:rPr>
                <w:rFonts w:ascii="Tahoma" w:hAnsi="Tahoma" w:eastAsia="Tahoma" w:cs="Tahoma"/>
                <w:color w:val="333333"/>
              </w:rPr>
              <w:t>GPU</w:t>
            </w:r>
            <w:r>
              <w:rPr>
                <w:color w:val="333333"/>
                <w:spacing w:val="7"/>
              </w:rPr>
              <w:t>推理防算力泄漏</w:t>
            </w:r>
          </w:p>
        </w:tc>
      </w:tr>
      <w:tr>
        <w:trPr>
          <w:trHeight w:val="780" w:hRule="atLeast"/>
        </w:trPr>
        <w:tc>
          <w:tcPr>
            <w:shd w:val="clear" w:fill="F8F8F8"/>
            <w:tcW w:w="2734" w:type="dxa"/>
            <w:vAlign w:val="top"/>
          </w:tcPr>
          <w:p>
            <w:pPr>
              <w:pStyle w:val="TableText"/>
              <w:ind w:left="198" w:right="278" w:hanging="2"/>
              <w:spacing w:before="142" w:line="231" w:lineRule="auto"/>
              <w:rPr/>
            </w:pPr>
            <w:r>
              <w:rPr>
                <w:color w:val="333333"/>
                <w:spacing w:val="11"/>
              </w:rPr>
              <w:t>硬编码</w:t>
            </w:r>
            <w:r>
              <w:rPr>
                <w:rFonts w:ascii="Tahoma" w:hAnsi="Tahoma" w:eastAsia="Tahoma" w:cs="Tahoma"/>
                <w:color w:val="333333"/>
              </w:rPr>
              <w:t>Mock</w:t>
            </w:r>
            <w:r>
              <w:rPr>
                <w:color w:val="333333"/>
                <w:spacing w:val="11"/>
              </w:rPr>
              <w:t>数据导致系统</w:t>
            </w:r>
            <w:r>
              <w:rPr>
                <w:color w:val="333333"/>
                <w:spacing w:val="4"/>
              </w:rPr>
              <w:t>缺乏可扩展性</w:t>
            </w:r>
          </w:p>
        </w:tc>
        <w:tc>
          <w:tcPr>
            <w:shd w:val="clear" w:fill="F8F8F8"/>
            <w:tcW w:w="6165" w:type="dxa"/>
            <w:vAlign w:val="top"/>
          </w:tcPr>
          <w:p>
            <w:pPr>
              <w:pStyle w:val="TableText"/>
              <w:ind w:left="197" w:right="417" w:hanging="3"/>
              <w:spacing w:before="142" w:line="231" w:lineRule="auto"/>
              <w:rPr/>
            </w:pPr>
            <w:r>
              <w:rPr>
                <w:b/>
                <w:bCs/>
                <w:color w:val="333333"/>
                <w:spacing w:val="9"/>
              </w:rPr>
              <w:t>标准化数据仿真</w:t>
            </w:r>
            <w:r>
              <w:rPr>
                <w:color w:val="333333"/>
                <w:spacing w:val="9"/>
              </w:rPr>
              <w:t>：引入</w:t>
            </w:r>
            <w:r>
              <w:rPr>
                <w:rFonts w:ascii="Tahoma" w:hAnsi="Tahoma" w:eastAsia="Tahoma" w:cs="Tahoma"/>
                <w:color w:val="333333"/>
              </w:rPr>
              <w:t>HAPI</w:t>
            </w:r>
            <w:r>
              <w:rPr>
                <w:rFonts w:ascii="Tahoma" w:hAnsi="Tahoma" w:eastAsia="Tahoma" w:cs="Tahoma"/>
                <w:color w:val="333333"/>
                <w:spacing w:val="9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FHIR</w:t>
            </w:r>
            <w:r>
              <w:rPr>
                <w:color w:val="333333"/>
                <w:spacing w:val="9"/>
              </w:rPr>
              <w:t>构建</w:t>
            </w:r>
            <w:r>
              <w:rPr>
                <w:rFonts w:ascii="Tahoma" w:hAnsi="Tahoma" w:eastAsia="Tahoma" w:cs="Tahoma"/>
                <w:color w:val="333333"/>
              </w:rPr>
              <w:t>Mock</w:t>
            </w:r>
            <w:r>
              <w:rPr>
                <w:rFonts w:ascii="Tahoma" w:hAnsi="Tahoma" w:eastAsia="Tahoma" w:cs="Tahoma"/>
                <w:color w:val="333333"/>
                <w:spacing w:val="9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Server</w:t>
            </w:r>
            <w:r>
              <w:rPr>
                <w:color w:val="333333"/>
                <w:spacing w:val="9"/>
              </w:rPr>
              <w:t>，验证协议适</w:t>
            </w:r>
            <w:r>
              <w:rPr>
                <w:color w:val="333333"/>
                <w:spacing w:val="4"/>
              </w:rPr>
              <w:t>配架构而非临时数据</w:t>
            </w:r>
          </w:p>
        </w:tc>
      </w:tr>
      <w:tr>
        <w:trPr>
          <w:trHeight w:val="2056" w:hRule="atLeast"/>
        </w:trPr>
        <w:tc>
          <w:tcPr>
            <w:tcW w:w="8899" w:type="dxa"/>
            <w:vAlign w:val="top"/>
            <w:gridSpan w:val="2"/>
            <w:tcBorders>
              <w:left w:val="nil"/>
              <w:bottom w:val="nil"/>
              <w:right w:val="nil"/>
            </w:tcBorders>
          </w:tcPr>
          <w:p>
            <w:pPr>
              <w:spacing w:before="233" w:line="30" w:lineRule="exact"/>
              <w:rPr/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-5655627</wp:posOffset>
                  </wp:positionH>
                  <wp:positionV relativeFrom="topMargin">
                    <wp:posOffset>643552</wp:posOffset>
                  </wp:positionV>
                  <wp:extent cx="5612832" cy="9529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2832" cy="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drawing>
                <wp:inline distT="0" distB="0" distL="0" distR="0">
                  <wp:extent cx="5608070" cy="19058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08070" cy="1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209" w:line="237" w:lineRule="auto"/>
              <w:outlineLvl w:val="1"/>
              <w:rPr>
                <w:sz w:val="34"/>
                <w:szCs w:val="34"/>
              </w:rPr>
            </w:pPr>
            <w:r>
              <w:rPr>
                <w:sz w:val="34"/>
                <w:szCs w:val="34"/>
                <w:b/>
                <w:bCs/>
                <w:color w:val="333333"/>
              </w:rPr>
              <w:t>系统架构设计</w:t>
            </w:r>
            <w:r>
              <w:rPr>
                <w:sz w:val="34"/>
                <w:szCs w:val="34"/>
                <w:b/>
                <w:bCs/>
                <w:color w:val="333333"/>
                <w:spacing w:val="1"/>
              </w:rPr>
              <w:t xml:space="preserve">                                                                  </w:t>
            </w:r>
            <w:hyperlink w:history="true" r:id="rId5">
              <w:r>
                <w:rPr>
                  <w:sz w:val="34"/>
                  <w:szCs w:val="34"/>
                  <w:b/>
                  <w:bCs/>
                  <w:color w:val="333333"/>
                  <w:spacing w:val="18"/>
                </w:rPr>
                <w:t xml:space="preserve"> </w:t>
              </w:r>
            </w:hyperlink>
          </w:p>
          <w:p>
            <w:pPr>
              <w:pStyle w:val="TableText"/>
              <w:ind w:left="1" w:right="247" w:hanging="1"/>
              <w:spacing w:before="233" w:line="231" w:lineRule="auto"/>
              <w:rPr/>
            </w:pPr>
            <w:r>
              <w:rPr>
                <w:color w:val="333333"/>
                <w:spacing w:val="2"/>
              </w:rPr>
              <w:t>系统遵循</w:t>
            </w:r>
            <w:r>
              <w:rPr>
                <w:rFonts w:ascii="Tahoma" w:hAnsi="Tahoma" w:eastAsia="Tahoma" w:cs="Tahoma"/>
                <w:color w:val="333333"/>
                <w:spacing w:val="2"/>
              </w:rPr>
              <w:t>“</w:t>
            </w:r>
            <w:r>
              <w:rPr>
                <w:color w:val="333333"/>
                <w:spacing w:val="2"/>
              </w:rPr>
              <w:t>智能与业务解耦</w:t>
            </w:r>
            <w:r>
              <w:rPr>
                <w:rFonts w:ascii="Tahoma" w:hAnsi="Tahoma" w:eastAsia="Tahoma" w:cs="Tahoma"/>
                <w:color w:val="333333"/>
                <w:spacing w:val="2"/>
              </w:rPr>
              <w:t>”</w:t>
            </w:r>
            <w:r>
              <w:rPr>
                <w:color w:val="333333"/>
                <w:spacing w:val="2"/>
              </w:rPr>
              <w:t>原则，严格划分为两大核心正交域：</w:t>
            </w:r>
            <w:r>
              <w:rPr>
                <w:color w:val="333333"/>
                <w:spacing w:val="4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Kiko</w:t>
            </w:r>
            <w:r>
              <w:rPr>
                <w:color w:val="333333"/>
                <w:spacing w:val="2"/>
              </w:rPr>
              <w:t>负责</w:t>
            </w:r>
            <w:r>
              <w:rPr>
                <w:rFonts w:ascii="Tahoma" w:hAnsi="Tahoma" w:eastAsia="Tahoma" w:cs="Tahoma"/>
                <w:color w:val="333333"/>
              </w:rPr>
              <w:t>AI</w:t>
            </w:r>
            <w:r>
              <w:rPr>
                <w:color w:val="333333"/>
                <w:spacing w:val="2"/>
              </w:rPr>
              <w:t>与数据治</w:t>
            </w:r>
            <w:r>
              <w:rPr>
                <w:color w:val="333333"/>
                <w:spacing w:val="1"/>
              </w:rPr>
              <w:t>理闭环， </w:t>
            </w:r>
            <w:r>
              <w:rPr>
                <w:rFonts w:ascii="Tahoma" w:hAnsi="Tahoma" w:eastAsia="Tahoma" w:cs="Tahoma"/>
                <w:color w:val="333333"/>
              </w:rPr>
              <w:t>Sun</w:t>
            </w:r>
            <w:r>
              <w:rPr>
                <w:color w:val="333333"/>
                <w:spacing w:val="1"/>
              </w:rPr>
              <w:t>负责</w:t>
            </w:r>
            <w:r>
              <w:rPr>
                <w:color w:val="333333"/>
                <w:spacing w:val="1"/>
              </w:rPr>
              <w:t>业务高可用与前端交互闭环。</w:t>
            </w:r>
          </w:p>
        </w:tc>
      </w:tr>
      <w:tr>
        <w:trPr>
          <w:trHeight w:val="2379" w:hRule="atLeast"/>
        </w:trPr>
        <w:tc>
          <w:tcPr>
            <w:shd w:val="clear" w:fill="F8F8F8"/>
            <w:tcW w:w="8899" w:type="dxa"/>
            <w:vAlign w:val="top"/>
            <w:gridSpan w:val="2"/>
            <w:tcBorders>
              <w:left w:val="nil"/>
              <w:bottom w:val="nil"/>
              <w:right w:val="nil"/>
              <w:top w:val="nil"/>
            </w:tcBorders>
          </w:tcPr>
          <w:p>
            <w:pPr>
              <w:spacing w:line="169" w:lineRule="exact"/>
              <w:rPr/>
            </w:pPr>
            <w:r/>
          </w:p>
          <w:tbl>
            <w:tblPr>
              <w:tblStyle w:val="TableNormal"/>
              <w:tblW w:w="6920" w:type="dxa"/>
              <w:tblInd w:w="249" w:type="dxa"/>
              <w:tblLayout w:type="fixed"/>
              <w:tblBorders>
                <w:top w:val="single" w:color="333333" w:sz="12" w:space="0"/>
                <w:left w:val="single" w:color="333333" w:sz="12" w:space="0"/>
                <w:bottom w:val="single" w:color="333333" w:sz="12" w:space="0"/>
                <w:right w:val="single" w:color="333333" w:sz="12" w:space="0"/>
                <w:insideH w:val="single" w:color="333333" w:sz="12" w:space="0"/>
                <w:insideV w:val="single" w:color="333333" w:sz="12" w:space="0"/>
              </w:tblBorders>
            </w:tblPr>
            <w:tblGrid>
              <w:gridCol w:w="6598"/>
              <w:gridCol w:w="322"/>
            </w:tblGrid>
            <w:tr>
              <w:trPr>
                <w:trHeight w:val="853" w:hRule="atLeast"/>
              </w:trPr>
              <w:tc>
                <w:tcPr>
                  <w:tcW w:w="6598" w:type="dxa"/>
                  <w:vAlign w:val="top"/>
                  <w:tcBorders>
                    <w:right w:val="nil"/>
                  </w:tcBorders>
                </w:tcPr>
                <w:p>
                  <w:pPr>
                    <w:ind w:left="240"/>
                    <w:spacing w:before="227" w:line="239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>④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3"/>
                    </w:rPr>
                    <w:t>应用平台层（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React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18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AntD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ECharts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3"/>
                    </w:rPr>
                    <w:t>）</w:t>
                  </w:r>
                </w:p>
                <w:p>
                  <w:pPr>
                    <w:ind w:left="255"/>
                    <w:spacing w:before="49" w:line="21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1"/>
                    </w:rPr>
                    <w:t>医生工作站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7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│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1"/>
                    </w:rPr>
                    <w:t>影像滑动对比组件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1"/>
                    </w:rPr>
                    <w:t>原图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/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1"/>
                    </w:rPr>
                    <w:t>热力图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│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AI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1"/>
                    </w:rPr>
                    <w:t>诊断对话框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1"/>
                    </w:rPr>
                    <w:t xml:space="preserve">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│</w:t>
                  </w:r>
                </w:p>
              </w:tc>
              <w:tc>
                <w:tcPr>
                  <w:tcW w:w="322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ind w:left="108"/>
                    <w:spacing w:before="238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│</w:t>
                  </w:r>
                </w:p>
              </w:tc>
            </w:tr>
            <w:tr>
              <w:trPr>
                <w:trHeight w:val="853" w:hRule="atLeast"/>
              </w:trPr>
              <w:tc>
                <w:tcPr>
                  <w:tcW w:w="6598" w:type="dxa"/>
                  <w:vAlign w:val="top"/>
                  <w:tcBorders>
                    <w:right w:val="nil"/>
                  </w:tcBorders>
                </w:tcPr>
                <w:p>
                  <w:pPr>
                    <w:ind w:left="240"/>
                    <w:spacing w:before="154" w:line="220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>③</w:t>
                  </w:r>
                  <w:r>
                    <w:rPr>
                      <w:rFonts w:ascii="Consolas" w:hAnsi="Consolas" w:eastAsia="Consolas" w:cs="Consolas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4"/>
                    </w:rPr>
                    <w:t>应用服务层（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Spring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Boot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4"/>
                    </w:rPr>
                    <w:t>）</w:t>
                  </w:r>
                </w:p>
                <w:p>
                  <w:pPr>
                    <w:ind w:left="255"/>
                    <w:spacing w:before="67" w:line="21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</w:rPr>
                    <w:t>患者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360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API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│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FHIR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Adapter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│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AI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</w:rPr>
                    <w:t>诊断异步代理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│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Sentinel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</w:rPr>
                    <w:t>熔断降级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│</w:t>
                  </w:r>
                </w:p>
              </w:tc>
              <w:tc>
                <w:tcPr>
                  <w:tcW w:w="322" w:type="dxa"/>
                  <w:vAlign w:val="top"/>
                  <w:tcBorders>
                    <w:left w:val="nil"/>
                    <w:right w:val="nil"/>
                  </w:tcBorders>
                </w:tcPr>
                <w:p>
                  <w:pPr>
                    <w:ind w:left="108"/>
                    <w:spacing w:before="165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│</w:t>
                  </w:r>
                </w:p>
              </w:tc>
            </w:tr>
          </w:tbl>
          <w:p>
            <w:pPr>
              <w:ind w:left="234"/>
              <w:spacing w:before="82" w:line="219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②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>智能管道层（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Kiko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>）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</w:rPr>
              <w:t>②</w:t>
            </w:r>
            <w:r>
              <w:rPr>
                <w:rFonts w:ascii="Consolas" w:hAnsi="Consolas" w:eastAsia="Consolas" w:cs="Consolas"/>
                <w:sz w:val="17"/>
                <w:szCs w:val="17"/>
                <w:color w:val="333333"/>
                <w:spacing w:val="21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>数据持久层（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Sun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DBA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>核心）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1"/>
              </w:rPr>
              <w:t xml:space="preserve">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1206" w:right="1414" w:bottom="0" w:left="154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firstLine="75"/>
        <w:spacing w:before="180" w:line="270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4764</wp:posOffset>
                </wp:positionH>
                <wp:positionV relativeFrom="paragraph">
                  <wp:posOffset>114300</wp:posOffset>
                </wp:positionV>
                <wp:extent cx="5603875" cy="1777364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4764" y="114300"/>
                          <a:ext cx="5603875" cy="1777364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.375168pt;margin-top:9pt;mso-position-vertical-relative:text;mso-position-horizontal-relative:text;width:441.25pt;height:139.95pt;z-index:-251657216;" fillcolor="#F8F8F8" filled="true" stroked="false"/>
            </w:pict>
          </mc:Fallback>
        </mc:AlternateConten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5612832" cy="1782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78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4"/>
        </w:rPr>
        <w:pict>
          <v:group id="_x0000_s4" style="mso-position-vertical-relative:line;mso-position-horizontal-relative:char;width:434.5pt;height:135.1pt;" filled="false" stroked="false" coordsize="8690,2702" coordorigin="0,0">
            <v:rect id="_x0000_s6" style="position:absolute;left:0;top:0;width:8690;height:2702;" fillcolor="#F8F8F8" filled="true" stroked="false"/>
            <v:shape id="_x0000_s8" style="position:absolute;left:146;top:9;width:6992;height:26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83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69"/>
                      <w:gridCol w:w="1902"/>
                      <w:gridCol w:w="302"/>
                      <w:gridCol w:w="143"/>
                      <w:gridCol w:w="4047"/>
                      <w:gridCol w:w="267"/>
                    </w:tblGrid>
                    <w:tr>
                      <w:trPr>
                        <w:trHeight w:val="229" w:hRule="atLeast"/>
                      </w:trPr>
                      <w:tc>
                        <w:tcPr>
                          <w:tcW w:w="169" w:type="dxa"/>
                          <w:vAlign w:val="top"/>
                        </w:tcPr>
                        <w:p>
                          <w:pPr>
                            <w:spacing w:before="10" w:line="177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│</w:t>
                          </w:r>
                        </w:p>
                      </w:tc>
                      <w:tc>
                        <w:tcPr>
                          <w:tcW w:w="1902" w:type="dxa"/>
                          <w:vAlign w:val="top"/>
                        </w:tcPr>
                        <w:p>
                          <w:pPr>
                            <w:ind w:left="121"/>
                            <w:spacing w:before="12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Python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FastAPI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spacing w:line="219" w:lineRule="exact"/>
                            <w:rPr>
                              <w:rFonts w:ascii="Arial"/>
                              <w:sz w:val="19"/>
                            </w:rPr>
                          </w:pPr>
                          <w:r/>
                        </w:p>
                      </w:tc>
                      <w:tc>
                        <w:tcPr>
                          <w:tcW w:w="143" w:type="dxa"/>
                          <w:vAlign w:val="top"/>
                        </w:tcPr>
                        <w:p>
                          <w:pPr>
                            <w:spacing w:before="10" w:line="177" w:lineRule="exact"/>
                            <w:jc w:val="righ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44"/>
                            </w:rPr>
                            <w:t>│</w:t>
                          </w:r>
                        </w:p>
                      </w:tc>
                      <w:tc>
                        <w:tcPr>
                          <w:tcW w:w="4047" w:type="dxa"/>
                          <w:vAlign w:val="top"/>
                        </w:tcPr>
                        <w:p>
                          <w:pPr>
                            <w:ind w:left="207"/>
                            <w:spacing w:line="219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PostgreSQL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>(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>混合建模：关系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>+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JSONB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>+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GIN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"/>
                            </w:rPr>
                            <w:t>)</w:t>
                          </w:r>
                        </w:p>
                      </w:tc>
                      <w:tc>
                        <w:tcPr>
                          <w:tcW w:w="267" w:type="dxa"/>
                          <w:vAlign w:val="top"/>
                        </w:tcPr>
                        <w:p>
                          <w:pPr>
                            <w:spacing w:before="10" w:line="177" w:lineRule="exact"/>
                            <w:jc w:val="righ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44"/>
                            </w:rPr>
                            <w:t>│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169" w:type="dxa"/>
                          <w:vAlign w:val="top"/>
                        </w:tcPr>
                        <w:p>
                          <w:pPr>
                            <w:spacing w:before="51" w:line="177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│</w:t>
                          </w:r>
                        </w:p>
                      </w:tc>
                      <w:tc>
                        <w:tcPr>
                          <w:tcW w:w="1902" w:type="dxa"/>
                          <w:vAlign w:val="top"/>
                        </w:tcPr>
                        <w:p>
                          <w:pPr>
                            <w:ind w:left="137"/>
                            <w:spacing w:before="41" w:line="239" w:lineRule="auto"/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2"/>
                            </w:rPr>
                            <w:t>自训练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CNN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"/>
                            </w:rPr>
                            <w:t>+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VLM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2"/>
                            </w:rPr>
                            <w:t>双轨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ind w:left="182"/>
                            <w:spacing w:before="51" w:line="177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│</w:t>
                          </w:r>
                        </w:p>
                      </w:tc>
                      <w:tc>
                        <w:tcPr>
                          <w:tcW w:w="14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4047" w:type="dxa"/>
                          <w:vAlign w:val="top"/>
                        </w:tcPr>
                        <w:p>
                          <w:pPr>
                            <w:ind w:left="23"/>
                            <w:spacing w:before="40" w:line="219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Redis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(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布隆过滤器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+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随机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TTL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防雪崩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)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0"/>
                            </w:rPr>
                            <w:t xml:space="preserve">    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3"/>
                            </w:rPr>
                            <w:t>│</w:t>
                          </w:r>
                        </w:p>
                      </w:tc>
                      <w:tc>
                        <w:tcPr>
                          <w:tcW w:w="267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169" w:type="dxa"/>
                          <w:vAlign w:val="top"/>
                        </w:tcPr>
                        <w:p>
                          <w:pPr>
                            <w:spacing w:before="46" w:line="235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│</w:t>
                          </w:r>
                        </w:p>
                      </w:tc>
                      <w:tc>
                        <w:tcPr>
                          <w:tcW w:w="1902" w:type="dxa"/>
                          <w:vAlign w:val="top"/>
                        </w:tcPr>
                        <w:p>
                          <w:pPr>
                            <w:ind w:left="109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Multi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1"/>
                            </w:rPr>
                            <w:t>-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Agent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21"/>
                            </w:rPr>
                            <w:t>+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RAG</w:t>
                          </w:r>
                        </w:p>
                      </w:tc>
                      <w:tc>
                        <w:tcPr>
                          <w:tcW w:w="302" w:type="dxa"/>
                          <w:vAlign w:val="top"/>
                        </w:tcPr>
                        <w:p>
                          <w:pPr>
                            <w:spacing w:line="213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  <w:tc>
                        <w:tcPr>
                          <w:tcW w:w="143" w:type="dxa"/>
                          <w:vAlign w:val="top"/>
                        </w:tcPr>
                        <w:p>
                          <w:pPr>
                            <w:spacing w:before="46" w:line="235" w:lineRule="auto"/>
                            <w:jc w:val="righ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44"/>
                            </w:rPr>
                            <w:t>│</w:t>
                          </w:r>
                        </w:p>
                      </w:tc>
                      <w:tc>
                        <w:tcPr>
                          <w:tcW w:w="4047" w:type="dxa"/>
                          <w:vAlign w:val="top"/>
                        </w:tcPr>
                        <w:p>
                          <w:pPr>
                            <w:spacing w:line="213" w:lineRule="exact"/>
                            <w:rPr>
                              <w:rFonts w:ascii="Arial"/>
                              <w:sz w:val="18"/>
                            </w:rPr>
                          </w:pPr>
                          <w:r/>
                        </w:p>
                      </w:tc>
                      <w:tc>
                        <w:tcPr>
                          <w:tcW w:w="267" w:type="dxa"/>
                          <w:vAlign w:val="top"/>
                        </w:tcPr>
                        <w:p>
                          <w:pPr>
                            <w:spacing w:before="46" w:line="235" w:lineRule="auto"/>
                            <w:jc w:val="righ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44"/>
                            </w:rPr>
                            <w:t>│</w:t>
                          </w:r>
                        </w:p>
                      </w:tc>
                    </w:tr>
                  </w:tbl>
                  <w:p>
                    <w:pPr>
                      <w:spacing w:line="92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936" w:type="dxa"/>
                      <w:tblInd w:w="35" w:type="dxa"/>
                      <w:tblLayout w:type="fixed"/>
                      <w:tblBorders>
                        <w:top w:val="single" w:color="333333" w:sz="12" w:space="0"/>
                        <w:left w:val="single" w:color="333333" w:sz="12" w:space="0"/>
                        <w:bottom w:val="single" w:color="333333" w:sz="12" w:space="0"/>
                        <w:right w:val="single" w:color="333333" w:sz="12" w:space="0"/>
                        <w:insideH w:val="single" w:color="333333" w:sz="12" w:space="0"/>
                        <w:insideV w:val="single" w:color="333333" w:sz="12" w:space="0"/>
                      </w:tblBorders>
                    </w:tblPr>
                    <w:tblGrid>
                      <w:gridCol w:w="6936"/>
                    </w:tblGrid>
                    <w:tr>
                      <w:trPr>
                        <w:trHeight w:val="855" w:hRule="atLeast"/>
                      </w:trPr>
                      <w:tc>
                        <w:tcPr>
                          <w:tcW w:w="693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356"/>
                            <w:spacing w:line="121" w:lineRule="exact"/>
                            <w:rPr>
                              <w:rFonts w:ascii="Lucida Console" w:hAnsi="Lucida Console" w:eastAsia="Lucida Console" w:cs="Lucida Console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2"/>
                              <w:szCs w:val="12"/>
                              <w:color w:val="333333"/>
                              <w:spacing w:val="18"/>
                              <w:w w:val="121"/>
                              <w:position w:val="-3"/>
                            </w:rPr>
                            <w:t>┴</w:t>
                          </w:r>
                        </w:p>
                        <w:p>
                          <w:pPr>
                            <w:ind w:left="240"/>
                            <w:spacing w:before="107" w:line="239" w:lineRule="auto"/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①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数据接入与预处理层（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Kiko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负责影像，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Sun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负责临床）</w:t>
                          </w:r>
                        </w:p>
                        <w:p>
                          <w:pPr>
                            <w:ind w:left="251"/>
                            <w:spacing w:before="49" w:line="219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DICOM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离线转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PNG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热力图叠加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│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HAPI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FHIR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Mock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Server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(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仿真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HIS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EMR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)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5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│</w:t>
                          </w:r>
                        </w:p>
                      </w:tc>
                    </w:tr>
                    <w:tr>
                      <w:trPr>
                        <w:trHeight w:val="853" w:hRule="atLeast"/>
                      </w:trPr>
                      <w:tc>
                        <w:tcPr>
                          <w:tcW w:w="693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240"/>
                            <w:spacing w:before="155" w:line="239" w:lineRule="auto"/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⓪</w:t>
                          </w:r>
                          <w:r>
                            <w:rPr>
                              <w:rFonts w:ascii="Consolas" w:hAnsi="Consolas" w:eastAsia="Consolas" w:cs="Consolas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基础设施层（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Kiko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定拓扑，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Sun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主实施）</w:t>
                          </w:r>
                        </w:p>
                        <w:p>
                          <w:pPr>
                            <w:ind w:left="251"/>
                            <w:spacing w:before="49" w:line="219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Docker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Compose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│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Nginx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</w:rPr>
                            <w:t>网关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</w:rPr>
                            <w:t xml:space="preserve">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│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 xml:space="preserve"> 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</w:rPr>
                            <w:t>华为云服务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器部署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 xml:space="preserve">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│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GPU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显存隔离</w:t>
                          </w:r>
                          <w:r>
                            <w:rPr>
                              <w:rFonts w:ascii="NSimSun" w:hAnsi="NSimSun" w:eastAsia="NSimSun" w:cs="NSimSun"/>
                              <w:sz w:val="17"/>
                              <w:szCs w:val="17"/>
                              <w:color w:val="333333"/>
                              <w:spacing w:val="8"/>
                            </w:rPr>
                            <w:t xml:space="preserve">   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</w:rPr>
                            <w:t>│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0" w:lineRule="exact"/>
        <w:rPr/>
      </w:pPr>
      <w:r>
        <w:rPr/>
        <w:drawing>
          <wp:inline distT="0" distB="0" distL="0" distR="0">
            <wp:extent cx="5612832" cy="1905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"/>
        <w:spacing w:before="279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475890</wp:posOffset>
            </wp:positionV>
            <wp:extent cx="5612832" cy="952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关键工程实现与机制</w:t>
      </w:r>
    </w:p>
    <w:p>
      <w:pPr>
        <w:ind w:left="2"/>
        <w:spacing w:before="29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架构设计中的防御性约束在系统中均具有明确的代码级实现映射，以保障系统的鲁棒性。</w:t>
      </w:r>
    </w:p>
    <w:p>
      <w:pPr>
        <w:ind w:left="17"/>
        <w:spacing w:before="249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Tahoma" w:hAnsi="Tahoma" w:eastAsia="Tahoma" w:cs="Tahoma"/>
          <w:sz w:val="29"/>
          <w:szCs w:val="29"/>
          <w:b/>
          <w:bCs/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视觉双轨约束与可解释性机制</w:t>
      </w:r>
    </w:p>
    <w:p>
      <w:pPr>
        <w:ind w:left="3"/>
        <w:spacing w:before="21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摒弃不可控的纯大模型输出，采用</w:t>
      </w:r>
      <w:r>
        <w:rPr>
          <w:rFonts w:ascii="Tahoma" w:hAnsi="Tahoma" w:eastAsia="Tahoma" w:cs="Tahoma"/>
          <w:sz w:val="19"/>
          <w:szCs w:val="19"/>
          <w:color w:val="333333"/>
          <w:spacing w:val="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特征锚定</w:t>
      </w:r>
      <w:r>
        <w:rPr>
          <w:rFonts w:ascii="Tahoma" w:hAnsi="Tahoma" w:eastAsia="Tahoma" w:cs="Tahoma"/>
          <w:sz w:val="19"/>
          <w:szCs w:val="19"/>
          <w:color w:val="333333"/>
          <w:spacing w:val="2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语义推理</w:t>
      </w:r>
      <w:r>
        <w:rPr>
          <w:rFonts w:ascii="Tahoma" w:hAnsi="Tahoma" w:eastAsia="Tahoma" w:cs="Tahoma"/>
          <w:sz w:val="19"/>
          <w:szCs w:val="19"/>
          <w:color w:val="333333"/>
          <w:spacing w:val="2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双轨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策略：</w:t>
      </w:r>
    </w:p>
    <w:p>
      <w:pPr>
        <w:ind w:left="453" w:right="484" w:hanging="195"/>
        <w:spacing w:before="158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spacing w:val="7"/>
        </w:rPr>
        <w:t>1. </w:t>
      </w:r>
      <w:r>
        <w:rPr>
          <w:rFonts w:ascii="Tahoma" w:hAnsi="Tahoma" w:eastAsia="Tahoma" w:cs="Tahoma"/>
          <w:sz w:val="19"/>
          <w:szCs w:val="19"/>
          <w:b/>
          <w:bCs/>
          <w:color w:val="333333"/>
        </w:rPr>
        <w:t>DermAgent</w:t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7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7"/>
        </w:rPr>
        <w:t>提议</w:t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7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：自训练</w:t>
      </w:r>
      <w:r>
        <w:rPr>
          <w:rFonts w:ascii="Tahoma" w:hAnsi="Tahoma" w:eastAsia="Tahoma" w:cs="Tahoma"/>
          <w:sz w:val="19"/>
          <w:szCs w:val="19"/>
          <w:color w:val="333333"/>
        </w:rPr>
        <w:t>ResNet</w:t>
      </w:r>
      <w:r>
        <w:rPr>
          <w:rFonts w:ascii="Tahoma" w:hAnsi="Tahoma" w:eastAsia="Tahoma" w:cs="Tahoma"/>
          <w:sz w:val="19"/>
          <w:szCs w:val="19"/>
          <w:color w:val="333333"/>
          <w:spacing w:val="7"/>
        </w:rPr>
        <w:t>50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提取特征并生成</w:t>
      </w:r>
      <w:r>
        <w:rPr>
          <w:rFonts w:ascii="Tahoma" w:hAnsi="Tahoma" w:eastAsia="Tahoma" w:cs="Tahoma"/>
          <w:sz w:val="19"/>
          <w:szCs w:val="19"/>
          <w:color w:val="333333"/>
        </w:rPr>
        <w:t>Grad</w:t>
      </w:r>
      <w:r>
        <w:rPr>
          <w:rFonts w:ascii="Tahoma" w:hAnsi="Tahoma" w:eastAsia="Tahoma" w:cs="Tahoma"/>
          <w:sz w:val="19"/>
          <w:szCs w:val="19"/>
          <w:color w:val="333333"/>
          <w:spacing w:val="7"/>
        </w:rPr>
        <w:t>-</w:t>
      </w:r>
      <w:r>
        <w:rPr>
          <w:rFonts w:ascii="Tahoma" w:hAnsi="Tahoma" w:eastAsia="Tahoma" w:cs="Tahoma"/>
          <w:sz w:val="19"/>
          <w:szCs w:val="19"/>
          <w:color w:val="333333"/>
        </w:rPr>
        <w:t>CAM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热力图（提供确定性视觉锚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）；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调用</w:t>
      </w:r>
      <w:r>
        <w:rPr>
          <w:rFonts w:ascii="Tahoma" w:hAnsi="Tahoma" w:eastAsia="Tahoma" w:cs="Tahoma"/>
          <w:sz w:val="19"/>
          <w:szCs w:val="19"/>
          <w:color w:val="333333"/>
        </w:rPr>
        <w:t>GLM</w:t>
      </w:r>
      <w:r>
        <w:rPr>
          <w:rFonts w:ascii="Tahoma" w:hAnsi="Tahoma" w:eastAsia="Tahoma" w:cs="Tahoma"/>
          <w:sz w:val="19"/>
          <w:szCs w:val="19"/>
          <w:color w:val="333333"/>
          <w:spacing w:val="5"/>
        </w:rPr>
        <w:t>-4V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输出客观语义描述（提供泛化能力）。</w:t>
      </w:r>
    </w:p>
    <w:p>
      <w:pPr>
        <w:ind w:left="249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spacing w:val="6"/>
        </w:rPr>
        <w:t>2. </w:t>
      </w:r>
      <w:r>
        <w:rPr>
          <w:rFonts w:ascii="Tahoma" w:hAnsi="Tahoma" w:eastAsia="Tahoma" w:cs="Tahoma"/>
          <w:sz w:val="19"/>
          <w:szCs w:val="19"/>
          <w:b/>
          <w:bCs/>
          <w:color w:val="333333"/>
        </w:rPr>
        <w:t>IntegratorAgent</w:t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6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6"/>
        </w:rPr>
        <w:t>裁决</w:t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6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：执行</w:t>
      </w:r>
      <w:r>
        <w:rPr>
          <w:rFonts w:ascii="Tahoma" w:hAnsi="Tahoma" w:eastAsia="Tahoma" w:cs="Tahoma"/>
          <w:sz w:val="19"/>
          <w:szCs w:val="19"/>
          <w:color w:val="333333"/>
        </w:rPr>
        <w:t>RAG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检索，拼接多源特征组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装</w:t>
      </w:r>
      <w:r>
        <w:rPr>
          <w:rFonts w:ascii="Tahoma" w:hAnsi="Tahoma" w:eastAsia="Tahoma" w:cs="Tahoma"/>
          <w:sz w:val="19"/>
          <w:szCs w:val="19"/>
          <w:color w:val="333333"/>
        </w:rPr>
        <w:t>Prompt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。</w:t>
      </w:r>
    </w:p>
    <w:p>
      <w:pPr>
        <w:ind w:left="452" w:right="94" w:hanging="203"/>
        <w:spacing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spacing w:val="9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9"/>
        </w:rPr>
        <w:t>防幻觉强制拦截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4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IntegratorAgent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在代码层必须校验</w:t>
      </w:r>
      <w:r>
        <w:rPr>
          <w:rFonts w:ascii="Tahoma" w:hAnsi="Tahoma" w:eastAsia="Tahoma" w:cs="Tahoma"/>
          <w:sz w:val="19"/>
          <w:szCs w:val="19"/>
          <w:color w:val="333333"/>
        </w:rPr>
        <w:t>VLM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描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述与</w:t>
      </w:r>
      <w:r>
        <w:rPr>
          <w:rFonts w:ascii="Tahoma" w:hAnsi="Tahoma" w:eastAsia="Tahoma" w:cs="Tahoma"/>
          <w:sz w:val="19"/>
          <w:szCs w:val="19"/>
          <w:color w:val="333333"/>
        </w:rPr>
        <w:t>CNN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高亮区域（如</w:t>
      </w:r>
      <w:r>
        <w:rPr>
          <w:rFonts w:ascii="Tahoma" w:hAnsi="Tahoma" w:eastAsia="Tahoma" w:cs="Tahoma"/>
          <w:sz w:val="19"/>
          <w:szCs w:val="19"/>
          <w:color w:val="333333"/>
          <w:spacing w:val="8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病灶边缘不规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则</w:t>
      </w:r>
      <w:r>
        <w:rPr>
          <w:rFonts w:ascii="Tahoma" w:hAnsi="Tahoma" w:eastAsia="Tahoma" w:cs="Tahoma"/>
          <w:sz w:val="19"/>
          <w:szCs w:val="19"/>
          <w:color w:val="333333"/>
          <w:spacing w:val="6"/>
        </w:rPr>
        <w:t>”</w:t>
      </w:r>
      <w:r>
        <w:rPr>
          <w:rFonts w:ascii="Tahoma" w:hAnsi="Tahoma" w:eastAsia="Tahoma" w:cs="Tahoma"/>
          <w:sz w:val="19"/>
          <w:szCs w:val="19"/>
          <w:color w:val="333333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）的对应关系，以及</w:t>
      </w:r>
      <w:r>
        <w:rPr>
          <w:rFonts w:ascii="Tahoma" w:hAnsi="Tahoma" w:eastAsia="Tahoma" w:cs="Tahoma"/>
          <w:sz w:val="19"/>
          <w:szCs w:val="19"/>
          <w:color w:val="333333"/>
        </w:rPr>
        <w:t>Citation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字段非空。若对齐失败，抛出</w:t>
      </w:r>
    </w:p>
    <w:p>
      <w:pPr>
        <w:pStyle w:val="BodyText"/>
        <w:ind w:left="450"/>
        <w:spacing w:line="188" w:lineRule="auto"/>
        <w:tabs>
          <w:tab w:val="left" w:pos="505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color w:val="333333"/>
        </w:rPr>
        <w:tab/>
      </w:r>
      <w:r>
        <w:rPr>
          <w:shd w:val="clear" w:fill="F3F4F4"/>
          <w:color w:val="333333"/>
        </w:rPr>
        <w:t>DiagnosisUncertainException</w:t>
      </w:r>
      <w:r>
        <w:rPr>
          <w:shd w:val="clear" w:fill="F3F4F4"/>
          <w:color w:val="333333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，拒绝展示结果。</w:t>
      </w:r>
    </w:p>
    <w:p>
      <w:pPr>
        <w:ind w:left="11"/>
        <w:spacing w:before="263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Tahoma" w:hAnsi="Tahoma" w:eastAsia="Tahoma" w:cs="Tahoma"/>
          <w:sz w:val="29"/>
          <w:szCs w:val="29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异步流式交互与算力防泄漏机制</w:t>
      </w:r>
    </w:p>
    <w:p>
      <w:pPr>
        <w:pStyle w:val="BodyText"/>
        <w:ind w:left="452" w:right="131" w:hanging="242"/>
        <w:spacing w:before="212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4"/>
        </w:rPr>
        <w:t xml:space="preserve">   </w:t>
      </w:r>
      <w:r>
        <w:rPr>
          <w:rFonts w:ascii="Tahoma" w:hAnsi="Tahoma" w:eastAsia="Tahoma" w:cs="Tahoma"/>
          <w:sz w:val="19"/>
          <w:szCs w:val="19"/>
          <w:b/>
          <w:bCs/>
          <w:color w:val="333333"/>
        </w:rPr>
        <w:t>Sun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2"/>
        </w:rPr>
        <w:t>侧 </w:t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12"/>
        </w:rPr>
        <w:t>(</w:t>
      </w:r>
      <w:r>
        <w:rPr>
          <w:rFonts w:ascii="Tahoma" w:hAnsi="Tahoma" w:eastAsia="Tahoma" w:cs="Tahoma"/>
          <w:sz w:val="19"/>
          <w:szCs w:val="19"/>
          <w:b/>
          <w:bCs/>
          <w:color w:val="333333"/>
        </w:rPr>
        <w:t>WebClient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2"/>
        </w:rPr>
        <w:t>异步代理</w:t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12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：严禁使用同步阻塞调用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。</w:t>
      </w:r>
      <w:r>
        <w:rPr>
          <w:rFonts w:ascii="Tahoma" w:hAnsi="Tahoma" w:eastAsia="Tahoma" w:cs="Tahoma"/>
          <w:sz w:val="19"/>
          <w:szCs w:val="19"/>
          <w:color w:val="333333"/>
        </w:rPr>
        <w:t>Spring</w:t>
      </w:r>
      <w:r>
        <w:rPr>
          <w:rFonts w:ascii="Tahoma" w:hAnsi="Tahoma" w:eastAsia="Tahoma" w:cs="Tahoma"/>
          <w:sz w:val="19"/>
          <w:szCs w:val="19"/>
          <w:color w:val="333333"/>
          <w:spacing w:val="12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Boot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通过</w:t>
      </w:r>
      <w:r>
        <w:rPr>
          <w:shd w:val="clear" w:fill="F3F4F4"/>
          <w:color w:val="333333"/>
        </w:rPr>
        <w:t>WebClient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转发前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端请求，将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的</w:t>
      </w:r>
      <w:r>
        <w:rPr>
          <w:rFonts w:ascii="Tahoma" w:hAnsi="Tahoma" w:eastAsia="Tahoma" w:cs="Tahoma"/>
          <w:sz w:val="19"/>
          <w:szCs w:val="19"/>
          <w:color w:val="333333"/>
        </w:rPr>
        <w:t>SSE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流反向代理给前端，防止</w:t>
      </w:r>
      <w:r>
        <w:rPr>
          <w:rFonts w:ascii="Tahoma" w:hAnsi="Tahoma" w:eastAsia="Tahoma" w:cs="Tahoma"/>
          <w:sz w:val="19"/>
          <w:szCs w:val="19"/>
          <w:color w:val="333333"/>
        </w:rPr>
        <w:t>Tomcat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线程池被长连接耗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尽。</w:t>
      </w:r>
    </w:p>
    <w:p>
      <w:pPr>
        <w:pStyle w:val="BodyText"/>
        <w:ind w:left="452" w:right="153" w:hanging="242"/>
        <w:spacing w:before="2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9"/>
        </w:rPr>
        <w:t>断连感知防线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：前端断开连接时， </w:t>
      </w:r>
      <w:r>
        <w:rPr>
          <w:rFonts w:ascii="Tahoma" w:hAnsi="Tahoma" w:eastAsia="Tahoma" w:cs="Tahoma"/>
          <w:sz w:val="19"/>
          <w:szCs w:val="19"/>
          <w:color w:val="333333"/>
        </w:rPr>
        <w:t>Sun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的</w:t>
      </w:r>
      <w:r>
        <w:rPr>
          <w:rFonts w:ascii="Tahoma" w:hAnsi="Tahoma" w:eastAsia="Tahoma" w:cs="Tahoma"/>
          <w:sz w:val="19"/>
          <w:szCs w:val="19"/>
          <w:color w:val="333333"/>
        </w:rPr>
        <w:t>WebClient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感知并中断对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的</w:t>
      </w:r>
      <w:r>
        <w:rPr>
          <w:rFonts w:ascii="Tahoma" w:hAnsi="Tahoma" w:eastAsia="Tahoma" w:cs="Tahoma"/>
          <w:sz w:val="19"/>
          <w:szCs w:val="19"/>
          <w:color w:val="333333"/>
        </w:rPr>
        <w:t>SSE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拉取；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1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的</w:t>
      </w:r>
      <w:r>
        <w:rPr>
          <w:rFonts w:ascii="Tahoma" w:hAnsi="Tahoma" w:eastAsia="Tahoma" w:cs="Tahoma"/>
          <w:sz w:val="19"/>
          <w:szCs w:val="19"/>
          <w:color w:val="333333"/>
        </w:rPr>
        <w:t>FastAPI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通过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</w:t>
      </w:r>
      <w:hyperlink w:history="true" r:id="rId12">
        <w:r>
          <w:rPr>
            <w:shd w:val="clear" w:fill="F3F4F4"/>
            <w:color w:val="333333"/>
          </w:rPr>
          <w:t>Request</w:t>
        </w:r>
        <w:r>
          <w:rPr>
            <w:shd w:val="clear" w:fill="F3F4F4"/>
            <w:color w:val="333333"/>
            <w:spacing w:val="7"/>
          </w:rPr>
          <w:t>.</w:t>
        </w:r>
        <w:r>
          <w:rPr>
            <w:shd w:val="clear" w:fill="F3F4F4"/>
            <w:color w:val="333333"/>
          </w:rPr>
          <w:t>is</w:t>
        </w:r>
        <w:r>
          <w:rPr>
            <w:shd w:val="clear" w:fill="F3F4F4"/>
            <w:color w:val="333333"/>
            <w:spacing w:val="7"/>
          </w:rPr>
          <w:t>_</w:t>
        </w:r>
        <w:r>
          <w:rPr>
            <w:shd w:val="clear" w:fill="F3F4F4"/>
            <w:color w:val="333333"/>
          </w:rPr>
          <w:t>disconnected</w:t>
        </w:r>
      </w:hyperlink>
      <w:r>
        <w:rPr>
          <w:shd w:val="clear" w:fill="F3F4F4"/>
          <w:color w:val="333333"/>
          <w:spacing w:val="7"/>
        </w:rPr>
        <w:t>()</w:t>
      </w:r>
      <w:r>
        <w:rPr>
          <w:shd w:val="clear" w:fill="F3F4F4"/>
          <w:color w:val="333333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感知，立即终止后续</w:t>
      </w:r>
      <w:r>
        <w:rPr>
          <w:rFonts w:ascii="Tahoma" w:hAnsi="Tahoma" w:eastAsia="Tahoma" w:cs="Tahoma"/>
          <w:sz w:val="19"/>
          <w:szCs w:val="19"/>
          <w:color w:val="333333"/>
        </w:rPr>
        <w:t>GPU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推理循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环，防止算力泄漏。</w:t>
      </w:r>
    </w:p>
    <w:p>
      <w:pPr>
        <w:spacing w:line="149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ind w:left="184"/>
              <w:spacing w:before="149" w:line="23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5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Kiko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5"/>
              </w:rPr>
              <w:t>侧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4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FastAPI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13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5"/>
              </w:rPr>
              <w:t>核心防泄漏逻辑</w:t>
            </w:r>
          </w:p>
          <w:p>
            <w:pPr>
              <w:ind w:left="191"/>
              <w:spacing w:before="62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async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def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stream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  <w:spacing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FF"/>
              </w:rPr>
              <w:t>diagnosis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request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>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Request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task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7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id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>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</w:rPr>
              <w:t>str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>):</w:t>
            </w:r>
          </w:p>
          <w:p>
            <w:pPr>
              <w:ind w:left="615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for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step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in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agent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4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pipeline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4"/>
              </w:rPr>
              <w:t>:</w:t>
            </w:r>
          </w:p>
          <w:p>
            <w:pPr>
              <w:ind w:left="1041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if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await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29"/>
              </w:rPr>
              <w:t xml:space="preserve"> </w:t>
            </w:r>
            <w:hyperlink w:history="true" r:id="rId13">
              <w:r>
                <w:rPr>
                  <w:rFonts w:ascii="Lucida Console" w:hAnsi="Lucida Console" w:eastAsia="Lucida Console" w:cs="Lucida Console"/>
                  <w:sz w:val="17"/>
                  <w:szCs w:val="17"/>
                </w:rPr>
                <w:t>request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2"/>
                </w:rPr>
                <w:t>.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</w:rPr>
                <w:t>is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spacing w:val="12"/>
                </w:rPr>
                <w:t>_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</w:rPr>
                <w:t>disconnected</w:t>
              </w:r>
            </w:hyperlink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2"/>
              </w:rPr>
              <w:t>():</w:t>
            </w:r>
          </w:p>
          <w:p>
            <w:pPr>
              <w:ind w:left="1464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logger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warning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>f"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Client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disconnected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Aborting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GPU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task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>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>{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task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</w:rPr>
              <w:t>id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1111"/>
                <w:spacing w:val="13"/>
              </w:rPr>
              <w:t>}"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)</w:t>
            </w:r>
          </w:p>
          <w:p>
            <w:pPr>
              <w:ind w:left="1033" w:right="4933" w:firstLine="430"/>
              <w:spacing w:before="81" w:line="322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break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5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5"/>
              </w:rPr>
              <w:t>终止推理，释放显存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</w:rPr>
              <w:t>yield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770088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sse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spacing w:val="16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format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6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</w:rPr>
              <w:t>step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6"/>
              </w:rPr>
              <w:t>)</w:t>
            </w:r>
          </w:p>
        </w:tc>
      </w:tr>
    </w:tbl>
    <w:p>
      <w:pPr>
        <w:ind w:left="11"/>
        <w:spacing w:before="290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Tahoma" w:hAnsi="Tahoma" w:eastAsia="Tahoma" w:cs="Tahoma"/>
          <w:sz w:val="29"/>
          <w:szCs w:val="29"/>
          <w:b/>
          <w:bCs/>
          <w:color w:val="333333"/>
          <w:spacing w:val="-1"/>
        </w:rPr>
        <w:t>3.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医学影像渲染优化与内存管控</w:t>
      </w:r>
    </w:p>
    <w:p>
      <w:pPr>
        <w:ind w:left="2"/>
        <w:spacing w:before="210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针对前端医学影像交互的性能瓶颈，执行严格的渲染隔离：</w:t>
      </w:r>
    </w:p>
    <w:p>
      <w:pPr>
        <w:pStyle w:val="BodyText"/>
        <w:ind w:left="452" w:right="158" w:hanging="242"/>
        <w:spacing w:before="209" w:line="22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6"/>
        </w:rPr>
        <w:t>后端离线转码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：针对皮肤镜影像无需调窗的光学特性，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5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利用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</w:t>
      </w:r>
      <w:r>
        <w:rPr>
          <w:shd w:val="clear" w:fill="F3F4F4"/>
          <w:color w:val="333333"/>
        </w:rPr>
        <w:t>pydicom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离线解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析</w:t>
      </w:r>
      <w:r>
        <w:rPr>
          <w:rFonts w:ascii="Tahoma" w:hAnsi="Tahoma" w:eastAsia="Tahoma" w:cs="Tahoma"/>
          <w:sz w:val="19"/>
          <w:szCs w:val="19"/>
          <w:color w:val="333333"/>
        </w:rPr>
        <w:t>DICOM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直接转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存</w:t>
      </w:r>
      <w:r>
        <w:rPr>
          <w:rFonts w:ascii="Tahoma" w:hAnsi="Tahoma" w:eastAsia="Tahoma" w:cs="Tahoma"/>
          <w:sz w:val="19"/>
          <w:szCs w:val="19"/>
          <w:color w:val="333333"/>
        </w:rPr>
        <w:t>Web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友好的</w:t>
      </w:r>
      <w:r>
        <w:rPr>
          <w:rFonts w:ascii="Tahoma" w:hAnsi="Tahoma" w:eastAsia="Tahoma" w:cs="Tahoma"/>
          <w:sz w:val="19"/>
          <w:szCs w:val="19"/>
          <w:color w:val="333333"/>
        </w:rPr>
        <w:t>PNG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，前端不引入</w:t>
      </w:r>
      <w:r>
        <w:rPr>
          <w:rFonts w:ascii="Tahoma" w:hAnsi="Tahoma" w:eastAsia="Tahoma" w:cs="Tahoma"/>
          <w:sz w:val="19"/>
          <w:szCs w:val="19"/>
          <w:color w:val="333333"/>
        </w:rPr>
        <w:t>Cornerstone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等重度解析库。</w:t>
      </w:r>
    </w:p>
    <w:p>
      <w:pPr>
        <w:pStyle w:val="BodyText"/>
        <w:ind w:left="450" w:right="434" w:hanging="240"/>
        <w:spacing w:before="3" w:line="238" w:lineRule="auto"/>
        <w:tabs>
          <w:tab w:val="left" w:pos="520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6"/>
        </w:rPr>
        <w:t>前端内存防线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：大图加载使用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17"/>
          <w:w w:val="101"/>
        </w:rPr>
        <w:t xml:space="preserve"> </w:t>
      </w:r>
      <w:r>
        <w:rPr>
          <w:shd w:val="clear" w:fill="F3F4F4"/>
          <w:color w:val="333333"/>
        </w:rPr>
        <w:t>createObjectURL</w:t>
      </w:r>
      <w:r>
        <w:rPr>
          <w:shd w:val="clear" w:fill="F3F4F4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，在</w:t>
      </w:r>
      <w:r>
        <w:rPr>
          <w:rFonts w:ascii="Tahoma" w:hAnsi="Tahoma" w:eastAsia="Tahoma" w:cs="Tahoma"/>
          <w:sz w:val="19"/>
          <w:szCs w:val="19"/>
          <w:color w:val="333333"/>
        </w:rPr>
        <w:t>React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组件卸载或切换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患者时，严格调用</w:t>
      </w:r>
      <w:r>
        <w:rPr>
          <w:shd w:val="clear" w:fill="F3F4F4"/>
          <w:color w:val="333333"/>
        </w:rPr>
        <w:tab/>
      </w:r>
      <w:r>
        <w:rPr>
          <w:shd w:val="clear" w:fill="F3F4F4"/>
          <w:color w:val="333333"/>
        </w:rPr>
        <w:t>revokeObjectURL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释放浏览器内存，防止影像堆积导致的页面崩溃。</w:t>
      </w:r>
    </w:p>
    <w:p>
      <w:pPr>
        <w:ind w:left="4"/>
        <w:spacing w:before="18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Tahoma" w:hAnsi="Tahoma" w:eastAsia="Tahoma" w:cs="Tahoma"/>
          <w:sz w:val="29"/>
          <w:szCs w:val="29"/>
          <w:b/>
          <w:bCs/>
          <w:color w:val="333333"/>
          <w:spacing w:val="-1"/>
        </w:rPr>
        <w:t>4.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多模态数据混合建模策略</w:t>
      </w:r>
    </w:p>
    <w:p>
      <w:pPr>
        <w:spacing w:line="184" w:lineRule="auto"/>
        <w:sectPr>
          <w:headerReference w:type="default" r:id="rId6"/>
          <w:pgSz w:w="11900" w:h="16839"/>
          <w:pgMar w:top="400" w:right="1444" w:bottom="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ind w:left="6"/>
        <w:spacing w:before="281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476537</wp:posOffset>
            </wp:positionV>
            <wp:extent cx="5612832" cy="9528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协作范式与项目拓扑</w:t>
      </w:r>
    </w:p>
    <w:p>
      <w:pPr>
        <w:ind w:left="2" w:right="241"/>
        <w:spacing w:before="292" w:line="2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本项目由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与</w:t>
      </w:r>
      <w:r>
        <w:rPr>
          <w:rFonts w:ascii="Tahoma" w:hAnsi="Tahoma" w:eastAsia="Tahoma" w:cs="Tahoma"/>
          <w:sz w:val="19"/>
          <w:szCs w:val="19"/>
          <w:color w:val="333333"/>
        </w:rPr>
        <w:t>Sun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合作完成，采用契约驱动，领域严格正交。  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聚焦</w:t>
      </w:r>
      <w:r>
        <w:rPr>
          <w:rFonts w:ascii="Tahoma" w:hAnsi="Tahoma" w:eastAsia="Tahoma" w:cs="Tahoma"/>
          <w:sz w:val="19"/>
          <w:szCs w:val="19"/>
          <w:color w:val="333333"/>
        </w:rPr>
        <w:t>AI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工程与数据治理， </w:t>
      </w:r>
      <w:r>
        <w:rPr>
          <w:rFonts w:ascii="Tahoma" w:hAnsi="Tahoma" w:eastAsia="Tahoma" w:cs="Tahoma"/>
          <w:sz w:val="19"/>
          <w:szCs w:val="19"/>
          <w:color w:val="333333"/>
        </w:rPr>
        <w:t>Sun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聚焦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全栈高可用与医疗标准落地。</w:t>
      </w:r>
    </w:p>
    <w:p>
      <w:pPr>
        <w:ind w:left="4"/>
        <w:spacing w:before="176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角色矩阵</w:t>
      </w:r>
    </w:p>
    <w:p>
      <w:pPr>
        <w:spacing w:line="181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846"/>
        <w:gridCol w:w="3656"/>
        <w:gridCol w:w="4322"/>
      </w:tblGrid>
      <w:tr>
        <w:trPr>
          <w:trHeight w:val="783" w:hRule="atLeast"/>
        </w:trPr>
        <w:tc>
          <w:tcPr>
            <w:shd w:val="clear" w:fill="F8F8F8"/>
            <w:tcW w:w="846" w:type="dxa"/>
            <w:vAlign w:val="top"/>
          </w:tcPr>
          <w:p>
            <w:pPr>
              <w:pStyle w:val="TableText"/>
              <w:ind w:left="197" w:right="245"/>
              <w:spacing w:before="148" w:line="230" w:lineRule="auto"/>
              <w:rPr/>
            </w:pPr>
            <w:r>
              <w:rPr>
                <w:b/>
                <w:bCs/>
                <w:color w:val="333333"/>
                <w:spacing w:val="3"/>
              </w:rPr>
              <w:t>负责</w:t>
            </w:r>
            <w:r>
              <w:rPr>
                <w:b/>
                <w:bCs/>
                <w:color w:val="333333"/>
                <w:spacing w:val="2"/>
              </w:rPr>
              <w:t>人</w:t>
            </w:r>
          </w:p>
        </w:tc>
        <w:tc>
          <w:tcPr>
            <w:shd w:val="clear" w:fill="F8F8F8"/>
            <w:tcW w:w="3656" w:type="dxa"/>
            <w:vAlign w:val="top"/>
          </w:tcPr>
          <w:p>
            <w:pPr>
              <w:pStyle w:val="TableText"/>
              <w:ind w:left="191"/>
              <w:spacing w:before="299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核心职责域</w:t>
            </w:r>
          </w:p>
        </w:tc>
        <w:tc>
          <w:tcPr>
            <w:shd w:val="clear" w:fill="F8F8F8"/>
            <w:tcW w:w="4322" w:type="dxa"/>
            <w:vAlign w:val="top"/>
          </w:tcPr>
          <w:p>
            <w:pPr>
              <w:pStyle w:val="TableText"/>
              <w:ind w:left="200"/>
              <w:spacing w:before="300" w:line="186" w:lineRule="auto"/>
              <w:rPr/>
            </w:pPr>
            <w:r>
              <w:rPr>
                <w:b/>
                <w:bCs/>
                <w:color w:val="333333"/>
                <w:spacing w:val="3"/>
              </w:rPr>
              <w:t>工程侧重</w:t>
            </w:r>
          </w:p>
        </w:tc>
      </w:tr>
      <w:tr>
        <w:trPr>
          <w:trHeight w:val="775" w:hRule="atLeast"/>
        </w:trPr>
        <w:tc>
          <w:tcPr>
            <w:tcW w:w="846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12"/>
              <w:spacing w:before="57" w:line="197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b/>
                <w:bCs/>
                <w:color w:val="333333"/>
                <w:spacing w:val="-2"/>
              </w:rPr>
              <w:t>Kiko</w:t>
            </w:r>
          </w:p>
        </w:tc>
        <w:tc>
          <w:tcPr>
            <w:tcW w:w="3656" w:type="dxa"/>
            <w:vAlign w:val="top"/>
          </w:tcPr>
          <w:p>
            <w:pPr>
              <w:pStyle w:val="TableText"/>
              <w:ind w:left="191" w:right="283"/>
              <w:spacing w:before="144" w:line="218" w:lineRule="auto"/>
              <w:rPr/>
            </w:pPr>
            <w:r>
              <w:rPr>
                <w:color w:val="333333"/>
                <w:spacing w:val="3"/>
              </w:rPr>
              <w:t>智能管道（</w:t>
            </w:r>
            <w:r>
              <w:rPr>
                <w:rFonts w:ascii="Tahoma" w:hAnsi="Tahoma" w:eastAsia="Tahoma" w:cs="Tahoma"/>
                <w:color w:val="333333"/>
              </w:rPr>
              <w:t>AI</w:t>
            </w:r>
            <w:r>
              <w:rPr>
                <w:color w:val="333333"/>
                <w:spacing w:val="3"/>
              </w:rPr>
              <w:t>子系统、</w:t>
            </w:r>
            <w:r>
              <w:rPr>
                <w:color w:val="333333"/>
                <w:spacing w:val="-15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EMPI</w:t>
            </w:r>
            <w:r>
              <w:rPr>
                <w:color w:val="333333"/>
                <w:spacing w:val="3"/>
              </w:rPr>
              <w:t>、影像预</w:t>
            </w:r>
            <w:r>
              <w:rPr>
                <w:color w:val="333333"/>
                <w:spacing w:val="2"/>
              </w:rPr>
              <w:t>处理、</w:t>
            </w:r>
            <w:r>
              <w:rPr>
                <w:color w:val="333333"/>
                <w:spacing w:val="-24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RAG</w:t>
            </w:r>
            <w:r>
              <w:rPr>
                <w:color w:val="333333"/>
                <w:spacing w:val="2"/>
              </w:rPr>
              <w:t>）</w:t>
            </w:r>
          </w:p>
        </w:tc>
        <w:tc>
          <w:tcPr>
            <w:tcW w:w="4322" w:type="dxa"/>
            <w:vAlign w:val="top"/>
          </w:tcPr>
          <w:p>
            <w:pPr>
              <w:pStyle w:val="TableText"/>
              <w:ind w:left="198" w:right="227" w:hanging="3"/>
              <w:spacing w:before="145" w:line="228" w:lineRule="auto"/>
              <w:rPr/>
            </w:pPr>
            <w:r>
              <w:rPr>
                <w:rFonts w:ascii="Tahoma" w:hAnsi="Tahoma" w:eastAsia="Tahoma" w:cs="Tahoma"/>
                <w:color w:val="333333"/>
              </w:rPr>
              <w:t>AI</w:t>
            </w:r>
            <w:r>
              <w:rPr>
                <w:color w:val="333333"/>
                <w:spacing w:val="4"/>
              </w:rPr>
              <w:t>工程：双轨约束防幻觉、可解释性锚点、数</w:t>
            </w:r>
            <w:r>
              <w:rPr>
                <w:color w:val="333333"/>
                <w:spacing w:val="4"/>
              </w:rPr>
              <w:t>据治理</w:t>
            </w:r>
          </w:p>
        </w:tc>
      </w:tr>
      <w:tr>
        <w:trPr>
          <w:trHeight w:val="783" w:hRule="atLeast"/>
        </w:trPr>
        <w:tc>
          <w:tcPr>
            <w:shd w:val="clear" w:fill="F8F8F8"/>
            <w:tcW w:w="846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204"/>
              <w:spacing w:before="57" w:line="190" w:lineRule="auto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sz w:val="19"/>
                <w:szCs w:val="19"/>
                <w:b/>
                <w:bCs/>
                <w:color w:val="333333"/>
                <w:spacing w:val="-2"/>
              </w:rPr>
              <w:t>Sun</w:t>
            </w:r>
          </w:p>
        </w:tc>
        <w:tc>
          <w:tcPr>
            <w:shd w:val="clear" w:fill="F8F8F8"/>
            <w:tcW w:w="3656" w:type="dxa"/>
            <w:vAlign w:val="top"/>
          </w:tcPr>
          <w:p>
            <w:pPr>
              <w:pStyle w:val="TableText"/>
              <w:ind w:left="208" w:right="566" w:hanging="18"/>
              <w:spacing w:before="150" w:line="229" w:lineRule="auto"/>
              <w:rPr/>
            </w:pPr>
            <w:r>
              <w:rPr>
                <w:color w:val="333333"/>
                <w:spacing w:val="2"/>
              </w:rPr>
              <w:t>应用平台（业务服务、前端交互、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  <w:spacing w:val="-1"/>
              </w:rPr>
              <w:t>DBA</w:t>
            </w:r>
            <w:r>
              <w:rPr>
                <w:color w:val="333333"/>
                <w:spacing w:val="-1"/>
              </w:rPr>
              <w:t>、</w:t>
            </w:r>
            <w:r>
              <w:rPr>
                <w:color w:val="333333"/>
                <w:spacing w:val="-32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  <w:spacing w:val="-1"/>
              </w:rPr>
              <w:t>FHIR</w:t>
            </w:r>
            <w:r>
              <w:rPr>
                <w:color w:val="333333"/>
                <w:spacing w:val="-1"/>
              </w:rPr>
              <w:t>接入）</w:t>
            </w:r>
          </w:p>
        </w:tc>
        <w:tc>
          <w:tcPr>
            <w:shd w:val="clear" w:fill="F8F8F8"/>
            <w:tcW w:w="4322" w:type="dxa"/>
            <w:vAlign w:val="top"/>
          </w:tcPr>
          <w:p>
            <w:pPr>
              <w:pStyle w:val="TableText"/>
              <w:ind w:left="196" w:right="256" w:hanging="1"/>
              <w:spacing w:before="150" w:line="229" w:lineRule="auto"/>
              <w:rPr/>
            </w:pPr>
            <w:r>
              <w:rPr>
                <w:color w:val="333333"/>
                <w:spacing w:val="8"/>
              </w:rPr>
              <w:t>应用架构：</w:t>
            </w:r>
            <w:r>
              <w:rPr>
                <w:color w:val="333333"/>
                <w:spacing w:val="-20"/>
              </w:rPr>
              <w:t xml:space="preserve"> </w:t>
            </w:r>
            <w:r>
              <w:rPr>
                <w:rFonts w:ascii="Tahoma" w:hAnsi="Tahoma" w:eastAsia="Tahoma" w:cs="Tahoma"/>
                <w:color w:val="333333"/>
              </w:rPr>
              <w:t>WebClient</w:t>
            </w:r>
            <w:r>
              <w:rPr>
                <w:color w:val="333333"/>
                <w:spacing w:val="8"/>
              </w:rPr>
              <w:t>异步、高可用架构、复</w:t>
            </w:r>
            <w:r>
              <w:rPr>
                <w:color w:val="333333"/>
                <w:spacing w:val="4"/>
              </w:rPr>
              <w:t>杂交互与内存管控</w:t>
            </w:r>
          </w:p>
        </w:tc>
      </w:tr>
    </w:tbl>
    <w:p>
      <w:pPr>
        <w:ind w:left="33"/>
        <w:spacing w:before="307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5"/>
        </w:rPr>
        <w:t>目录结构</w:t>
      </w:r>
    </w:p>
    <w:p>
      <w:pPr>
        <w:spacing w:line="182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233" w:hRule="atLeast"/>
        </w:trPr>
        <w:tc>
          <w:tcPr>
            <w:tcW w:w="8824" w:type="dxa"/>
            <w:vAlign w:val="top"/>
          </w:tcPr>
          <w:p>
            <w:pPr>
              <w:ind w:left="191"/>
              <w:spacing w:before="161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-4760</wp:posOffset>
                      </wp:positionH>
                      <wp:positionV relativeFrom="paragraph">
                        <wp:posOffset>-4760</wp:posOffset>
                      </wp:positionV>
                      <wp:extent cx="5603875" cy="4603115"/>
                      <wp:effectExtent l="0" t="0" r="0" b="0"/>
                      <wp:wrapNone/>
                      <wp:docPr id="28" name="Rect 28"/>
                      <wp:cNvGraphicFramePr/>
                      <a:graphic>
                        <a:graphicData uri="http://schemas.microsoft.com/office/word/2010/wordprocessingShape">
                          <wps:wsp>
                            <wps:cNvPr id="28" name="Rect 28"/>
                            <wps:cNvSpPr/>
                            <wps:spPr>
                              <a:xfrm>
                                <a:off x="-4760" y="-4760"/>
                                <a:ext cx="5603875" cy="4603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" style="position:absolute;margin-left:-0.374832pt;margin-top:-0.374847pt;mso-position-vertical-relative:text;mso-position-horizontal-relative:text;width:441.25pt;height:362.45pt;z-index:-251654144;" fillcolor="#F8F8F8" filled="true" stroked="false"/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DermaIntegrate/</w:t>
            </w:r>
          </w:p>
          <w:p>
            <w:pPr>
              <w:ind w:left="226"/>
              <w:spacing w:before="82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backend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ai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[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Kiko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全权负责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]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智能管道层</w:t>
            </w:r>
          </w:p>
          <w:p>
            <w:pPr>
              <w:ind w:left="226"/>
              <w:spacing w:before="68" w:line="219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agents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Multi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Agent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交互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6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(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DermAgent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,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IntegratorAgent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)</w:t>
            </w:r>
          </w:p>
          <w:p>
            <w:pPr>
              <w:ind w:left="226"/>
              <w:spacing w:before="68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4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cnn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ResNet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50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微调与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Grad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CAM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热力图生成</w:t>
            </w:r>
          </w:p>
          <w:p>
            <w:pPr>
              <w:ind w:left="226"/>
              <w:spacing w:before="68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rag/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LlamaIndex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+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Qdrant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1"/>
              </w:rPr>
              <w:t>检索增强生成</w:t>
            </w:r>
          </w:p>
          <w:p>
            <w:pPr>
              <w:ind w:left="226"/>
              <w:spacing w:before="68" w:line="219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api/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 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>FastAPI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2"/>
              </w:rPr>
              <w:t>路由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5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>(SSE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2"/>
              </w:rPr>
              <w:t>流式接口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2"/>
              </w:rPr>
              <w:t>)</w:t>
            </w:r>
          </w:p>
          <w:p>
            <w:pPr>
              <w:ind w:left="226"/>
              <w:spacing w:before="68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└──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preprocessing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DICOM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3"/>
              </w:rPr>
              <w:t>离线转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PNG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3"/>
              </w:rPr>
              <w:t>与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EMPI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3"/>
              </w:rPr>
              <w:t>规则树匹配</w:t>
            </w:r>
          </w:p>
          <w:p>
            <w:pPr>
              <w:ind w:left="226"/>
              <w:spacing w:before="79" w:line="177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</w:p>
          <w:p>
            <w:pPr>
              <w:ind w:left="226"/>
              <w:spacing w:before="82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backend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app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[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Sun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全权负责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]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应用服务层</w:t>
            </w:r>
          </w:p>
          <w:p>
            <w:pPr>
              <w:ind w:left="226"/>
              <w:spacing w:before="69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2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fhir/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HAPI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FHIR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Adapter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>解析标准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R4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>资源</w:t>
            </w:r>
          </w:p>
          <w:p>
            <w:pPr>
              <w:ind w:left="226"/>
              <w:spacing w:before="68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4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service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患者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360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视图聚合、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AI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诊断异步代理</w:t>
            </w:r>
          </w:p>
          <w:p>
            <w:pPr>
              <w:ind w:left="226"/>
              <w:spacing w:before="69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5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config/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Sentinel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1"/>
              </w:rPr>
              <w:t>熔断降级配置</w:t>
            </w:r>
          </w:p>
          <w:p>
            <w:pPr>
              <w:ind w:left="226"/>
              <w:spacing w:before="68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└──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repository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 xml:space="preserve">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PostgreSQL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Redis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混合查询与防穿透雪崩</w:t>
            </w:r>
          </w:p>
          <w:p>
            <w:pPr>
              <w:ind w:left="226"/>
              <w:spacing w:before="79" w:line="178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</w:p>
          <w:p>
            <w:pPr>
              <w:ind w:left="226"/>
              <w:spacing w:before="82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frontend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[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Sun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全权负责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]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应用平台层</w:t>
            </w:r>
          </w:p>
          <w:p>
            <w:pPr>
              <w:ind w:left="226"/>
              <w:spacing w:before="68" w:line="219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components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影像滑动对比组件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(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原图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/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热力图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)</w:t>
            </w:r>
          </w:p>
          <w:p>
            <w:pPr>
              <w:ind w:left="226"/>
              <w:spacing w:before="69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hooks/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useSSE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1"/>
              </w:rPr>
              <w:t>状态机与断线重试</w:t>
            </w:r>
          </w:p>
          <w:p>
            <w:pPr>
              <w:ind w:left="226"/>
              <w:spacing w:before="68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3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└──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views/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>医生工作站与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AI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</w:rPr>
              <w:t>诊断对话框</w:t>
            </w:r>
          </w:p>
          <w:p>
            <w:pPr>
              <w:ind w:left="226"/>
              <w:spacing w:before="79" w:line="178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</w:p>
          <w:p>
            <w:pPr>
              <w:ind w:left="226"/>
              <w:spacing w:before="82" w:line="219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infra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[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Kiko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定拓扑，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Sun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主实施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]</w:t>
            </w:r>
          </w:p>
          <w:p>
            <w:pPr>
              <w:ind w:left="226"/>
              <w:spacing w:before="68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1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docker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compose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yml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3"/>
              </w:rPr>
              <w:t>异构微服务编排与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GPU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3"/>
              </w:rPr>
              <w:t>显存隔离</w:t>
            </w:r>
          </w:p>
          <w:p>
            <w:pPr>
              <w:ind w:left="226"/>
              <w:spacing w:before="69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4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├──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nginx/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1"/>
              </w:rPr>
              <w:t>网关路由与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-1"/>
              </w:rPr>
              <w:t>SSE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-1"/>
              </w:rPr>
              <w:t>超时配置</w:t>
            </w:r>
          </w:p>
          <w:p>
            <w:pPr>
              <w:ind w:left="226"/>
              <w:spacing w:before="68" w:line="21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│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2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└──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mock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fhir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data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虚拟患者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JSON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资源池</w:t>
            </w:r>
          </w:p>
          <w:p>
            <w:pPr>
              <w:ind w:left="226"/>
              <w:spacing w:before="79" w:line="178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│</w:t>
            </w:r>
          </w:p>
          <w:p>
            <w:pPr>
              <w:ind w:left="226"/>
              <w:spacing w:before="82" w:line="231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└──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docs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/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           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4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契约文档与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API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"/>
              </w:rPr>
              <w:t>定义</w:t>
            </w:r>
          </w:p>
          <w:p>
            <w:pPr>
              <w:ind w:left="649"/>
              <w:spacing w:before="58" w:line="222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└──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api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contract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yaml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 xml:space="preserve"> 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5"/>
              </w:rPr>
              <w:t>前后端与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AI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5"/>
              </w:rPr>
              <w:t>管道的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SSE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5"/>
              </w:rPr>
              <w:t>交互契约</w:t>
            </w:r>
          </w:p>
        </w:tc>
      </w:tr>
    </w:tbl>
    <w:p>
      <w:pPr>
        <w:spacing w:before="240" w:line="30" w:lineRule="exact"/>
        <w:rPr/>
      </w:pPr>
      <w:r>
        <w:rPr/>
        <w:drawing>
          <wp:inline distT="0" distB="0" distL="0" distR="0">
            <wp:extent cx="5612832" cy="1905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"/>
        <w:spacing w:before="281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部署与运行</w:t>
      </w:r>
    </w:p>
    <w:p>
      <w:pPr>
        <w:spacing w:line="183" w:lineRule="auto"/>
        <w:sectPr>
          <w:headerReference w:type="default" r:id="rId16"/>
          <w:footerReference w:type="default" r:id="rId17"/>
          <w:pgSz w:w="11900" w:h="16839"/>
          <w:pgMar w:top="1795" w:right="1444" w:bottom="1101" w:left="1540" w:header="589" w:footer="1086" w:gutter="0"/>
        </w:sectPr>
        <w:rPr>
          <w:rFonts w:ascii="Microsoft YaHei" w:hAnsi="Microsoft YaHei" w:eastAsia="Microsoft YaHei" w:cs="Microsoft YaHei"/>
          <w:sz w:val="34"/>
          <w:szCs w:val="34"/>
        </w:rPr>
      </w:pPr>
    </w:p>
    <w:p>
      <w:pPr>
        <w:ind w:left="17"/>
        <w:spacing w:before="247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Tahoma" w:hAnsi="Tahoma" w:eastAsia="Tahoma" w:cs="Tahoma"/>
          <w:sz w:val="29"/>
          <w:szCs w:val="29"/>
          <w:b/>
          <w:bCs/>
          <w:color w:val="333333"/>
          <w:spacing w:val="-6"/>
        </w:rPr>
        <w:t>1.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6"/>
        </w:rPr>
        <w:t>环境配置</w:t>
      </w:r>
    </w:p>
    <w:p>
      <w:pPr>
        <w:ind w:left="1"/>
        <w:spacing w:before="209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rect id="_x0000_s12" style="position:absolute;margin-left:0pt;margin-top:30.07pt;mso-position-vertical-relative:text;mso-position-horizontal-relative:text;width:3.05pt;height:30.05pt;z-index:251664384;" fillcolor="#DFE2E5" filled="true" stroked="false"/>
        </w:pic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系统采用</w:t>
      </w:r>
      <w:r>
        <w:rPr>
          <w:rFonts w:ascii="Tahoma" w:hAnsi="Tahoma" w:eastAsia="Tahoma" w:cs="Tahoma"/>
          <w:sz w:val="19"/>
          <w:szCs w:val="19"/>
          <w:color w:val="333333"/>
        </w:rPr>
        <w:t>Docker</w:t>
      </w:r>
      <w:r>
        <w:rPr>
          <w:rFonts w:ascii="Tahoma" w:hAnsi="Tahoma" w:eastAsia="Tahoma" w:cs="Tahoma"/>
          <w:sz w:val="19"/>
          <w:szCs w:val="19"/>
          <w:color w:val="333333"/>
          <w:spacing w:val="9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Compose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编排异构微服务拓扑，屏蔽环境差异。</w:t>
      </w:r>
    </w:p>
    <w:p>
      <w:pPr>
        <w:ind w:left="296" w:right="417" w:hanging="7"/>
        <w:spacing w:before="144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2"/>
        </w:rPr>
        <w:t>前提条件：如需体验</w:t>
      </w:r>
      <w:r>
        <w:rPr>
          <w:rFonts w:ascii="Tahoma" w:hAnsi="Tahoma" w:eastAsia="Tahoma" w:cs="Tahoma"/>
          <w:sz w:val="19"/>
          <w:szCs w:val="19"/>
          <w:color w:val="777777"/>
        </w:rPr>
        <w:t>AI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2"/>
        </w:rPr>
        <w:t>辅助诊断功能，宿主机需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1"/>
        </w:rPr>
        <w:t>安装</w:t>
      </w:r>
      <w:hyperlink w:history="true" r:id="rId22">
        <w:r>
          <w:rPr>
            <w:rFonts w:ascii="Tahoma" w:hAnsi="Tahoma" w:eastAsia="Tahoma" w:cs="Tahoma"/>
            <w:sz w:val="19"/>
            <w:szCs w:val="19"/>
            <w:u w:val="single" w:color="auto"/>
            <w:color w:val="4183C4"/>
          </w:rPr>
          <w:t>NVIDIA</w:t>
        </w:r>
        <w:r>
          <w:rPr>
            <w:rFonts w:ascii="Tahoma" w:hAnsi="Tahoma" w:eastAsia="Tahoma" w:cs="Tahoma"/>
            <w:sz w:val="19"/>
            <w:szCs w:val="19"/>
            <w:u w:val="single" w:color="auto"/>
            <w:color w:val="4183C4"/>
            <w:spacing w:val="11"/>
          </w:rPr>
          <w:t xml:space="preserve"> </w:t>
        </w:r>
        <w:r>
          <w:rPr>
            <w:rFonts w:ascii="Tahoma" w:hAnsi="Tahoma" w:eastAsia="Tahoma" w:cs="Tahoma"/>
            <w:sz w:val="19"/>
            <w:szCs w:val="19"/>
            <w:u w:val="single" w:color="auto"/>
            <w:color w:val="4183C4"/>
          </w:rPr>
          <w:t>Container</w:t>
        </w:r>
        <w:r>
          <w:rPr>
            <w:rFonts w:ascii="Tahoma" w:hAnsi="Tahoma" w:eastAsia="Tahoma" w:cs="Tahoma"/>
            <w:sz w:val="19"/>
            <w:szCs w:val="19"/>
            <w:u w:val="single" w:color="auto"/>
            <w:color w:val="4183C4"/>
            <w:spacing w:val="11"/>
          </w:rPr>
          <w:t xml:space="preserve"> </w:t>
        </w:r>
        <w:r>
          <w:rPr>
            <w:rFonts w:ascii="Tahoma" w:hAnsi="Tahoma" w:eastAsia="Tahoma" w:cs="Tahoma"/>
            <w:sz w:val="19"/>
            <w:szCs w:val="19"/>
            <w:u w:val="single" w:color="auto"/>
            <w:color w:val="4183C4"/>
          </w:rPr>
          <w:t>Toolkit</w:t>
        </w:r>
      </w:hyperlink>
      <w:r>
        <w:rPr>
          <w:rFonts w:ascii="Tahoma" w:hAnsi="Tahoma" w:eastAsia="Tahoma" w:cs="Tahoma"/>
          <w:sz w:val="19"/>
          <w:szCs w:val="19"/>
          <w:color w:val="4183C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1"/>
        </w:rPr>
        <w:t>以支持</w:t>
      </w:r>
      <w:r>
        <w:rPr>
          <w:rFonts w:ascii="Tahoma" w:hAnsi="Tahoma" w:eastAsia="Tahoma" w:cs="Tahoma"/>
          <w:sz w:val="19"/>
          <w:szCs w:val="19"/>
          <w:color w:val="777777"/>
        </w:rPr>
        <w:t>GPU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1"/>
        </w:rPr>
        <w:t>显存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9"/>
        </w:rPr>
        <w:t>隔离。</w:t>
      </w:r>
    </w:p>
    <w:p>
      <w:pPr>
        <w:spacing w:line="169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ind w:left="193" w:right="2704" w:hanging="3"/>
              <w:spacing w:before="162" w:line="361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</w:rPr>
              <w:t>git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19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clone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9"/>
              </w:rPr>
              <w:t xml:space="preserve"> </w:t>
            </w:r>
            <w:hyperlink w:history="true" r:id="rId23"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https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9"/>
                </w:rPr>
                <w:t>://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github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9"/>
                </w:rPr>
                <w:t>.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com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9"/>
                </w:rPr>
                <w:t>/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yourname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9"/>
                </w:rPr>
                <w:t>/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DermaIntegrate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9"/>
                </w:rPr>
                <w:t>.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git</w:t>
              </w:r>
            </w:hyperlink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2"/>
              </w:rPr>
              <w:t>cd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DermaIntegrate</w:t>
            </w:r>
          </w:p>
          <w:p>
            <w:pPr>
              <w:ind w:left="184"/>
              <w:spacing w:before="285" w:line="23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4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4"/>
              </w:rPr>
              <w:t>构建并启动所有服务</w:t>
            </w:r>
          </w:p>
          <w:p>
            <w:pPr>
              <w:ind w:left="190"/>
              <w:spacing w:before="62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docker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compose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up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  <w:spacing w:val="5"/>
              </w:rPr>
              <w:t>-d</w:t>
            </w:r>
          </w:p>
        </w:tc>
      </w:tr>
    </w:tbl>
    <w:p>
      <w:pPr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drawing>
          <wp:inline distT="0" distB="0" distL="0" distR="0">
            <wp:extent cx="70300" cy="8174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300" cy="8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核心依赖与版本控制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2" w:hRule="atLeast"/>
        </w:trPr>
        <w:tc>
          <w:tcPr>
            <w:shd w:val="clear" w:fill="F8F8F8"/>
            <w:tcW w:w="8824" w:type="dxa"/>
            <w:vAlign w:val="top"/>
          </w:tcPr>
          <w:p>
            <w:pPr>
              <w:ind w:left="184"/>
              <w:spacing w:before="149" w:line="222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Kiko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3"/>
              </w:rPr>
              <w:t>侧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Python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3"/>
              </w:rPr>
              <w:t>核心</w:t>
            </w:r>
          </w:p>
          <w:p>
            <w:pPr>
              <w:ind w:left="191"/>
              <w:spacing w:before="78" w:line="175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position w:val="-1"/>
              </w:rPr>
              <w:t>torch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  <w:position w:val="-1"/>
              </w:rPr>
              <w:t>==2.1.0+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position w:val="-1"/>
              </w:rPr>
              <w:t>cu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  <w:position w:val="-1"/>
              </w:rPr>
              <w:t>118</w:t>
            </w:r>
          </w:p>
          <w:p>
            <w:pPr>
              <w:ind w:left="192" w:right="6195" w:firstLine="2"/>
              <w:spacing w:before="94" w:line="363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pytorch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grad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cam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==1.5.0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fastapi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==0.109.0</w:t>
            </w:r>
          </w:p>
          <w:p>
            <w:pPr>
              <w:ind w:left="194" w:right="6618"/>
              <w:spacing w:before="26" w:line="363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llama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index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==0.10.0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pydicom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==2.4.3</w:t>
            </w:r>
          </w:p>
          <w:p>
            <w:pPr>
              <w:ind w:left="184"/>
              <w:spacing w:before="283" w:line="23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Sun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侧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3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Java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2"/>
              </w:rPr>
              <w:t>核心</w:t>
            </w:r>
          </w:p>
          <w:p>
            <w:pPr>
              <w:ind w:left="196" w:right="3625"/>
              <w:spacing w:before="51" w:line="320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spring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boot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starter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webflux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WebClient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13"/>
              </w:rPr>
              <w:t>异步非阻塞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spring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boot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starter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data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redis</w:t>
            </w:r>
          </w:p>
          <w:p>
            <w:pPr>
              <w:ind w:left="195"/>
              <w:spacing w:before="18" w:line="222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hapi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fhir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base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==6.8.0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   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FHIR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4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协议解析</w:t>
            </w:r>
          </w:p>
          <w:p>
            <w:pPr>
              <w:ind w:left="196"/>
              <w:spacing w:before="65" w:line="23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sentinel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9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datasource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9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nacos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9"/>
              </w:rPr>
              <w:t xml:space="preserve">  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9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9"/>
              </w:rPr>
              <w:t>熔断降级</w:t>
            </w:r>
          </w:p>
          <w:p>
            <w:pPr>
              <w:spacing w:before="79"/>
              <w:rPr/>
            </w:pPr>
            <w:r/>
          </w:p>
          <w:tbl>
            <w:tblPr>
              <w:tblStyle w:val="TableNormal"/>
              <w:tblW w:w="4684" w:type="dxa"/>
              <w:tblInd w:w="184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537"/>
              <w:gridCol w:w="2147"/>
            </w:tblGrid>
            <w:tr>
              <w:trPr>
                <w:trHeight w:val="499" w:hRule="atLeast"/>
              </w:trPr>
              <w:tc>
                <w:tcPr>
                  <w:tcW w:w="2537" w:type="dxa"/>
                  <w:vAlign w:val="top"/>
                </w:tcPr>
                <w:p>
                  <w:pPr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2"/>
                    </w:rPr>
                    <w:t>基础设施</w:t>
                  </w:r>
                </w:p>
                <w:p>
                  <w:pPr>
                    <w:ind w:left="10"/>
                    <w:spacing w:before="6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1"/>
                    </w:rPr>
                    <w:t>postgres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1"/>
                    </w:rPr>
                    <w:t>:15</w:t>
                  </w:r>
                </w:p>
              </w:tc>
              <w:tc>
                <w:tcPr>
                  <w:tcW w:w="2147" w:type="dxa"/>
                  <w:vAlign w:val="top"/>
                </w:tcPr>
                <w:p>
                  <w:pPr>
                    <w:spacing w:before="269" w:line="238" w:lineRule="auto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7"/>
                    </w:rPr>
                    <w:t>关系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JSONB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GIN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537" w:type="dxa"/>
                  <w:vAlign w:val="top"/>
                </w:tcPr>
                <w:p>
                  <w:pPr>
                    <w:ind w:left="5"/>
                    <w:spacing w:before="5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qdrant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qdrant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latest</w:t>
                  </w:r>
                </w:p>
              </w:tc>
              <w:tc>
                <w:tcPr>
                  <w:tcW w:w="2147" w:type="dxa"/>
                  <w:vAlign w:val="top"/>
                </w:tcPr>
                <w:p>
                  <w:pPr>
                    <w:ind w:left="425"/>
                    <w:spacing w:before="40" w:line="238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RAG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2"/>
                    </w:rPr>
                    <w:t>向量库</w:t>
                  </w:r>
                </w:p>
              </w:tc>
            </w:tr>
            <w:tr>
              <w:trPr>
                <w:trHeight w:val="229" w:hRule="atLeast"/>
              </w:trPr>
              <w:tc>
                <w:tcPr>
                  <w:tcW w:w="2537" w:type="dxa"/>
                  <w:vAlign w:val="top"/>
                </w:tcPr>
                <w:p>
                  <w:pPr>
                    <w:ind w:left="21"/>
                    <w:spacing w:before="53" w:line="23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redis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:7</w:t>
                  </w:r>
                </w:p>
              </w:tc>
              <w:tc>
                <w:tcPr>
                  <w:tcW w:w="2147" w:type="dxa"/>
                  <w:vAlign w:val="top"/>
                </w:tcPr>
                <w:p>
                  <w:pPr>
                    <w:ind w:left="531"/>
                    <w:spacing w:before="41" w:line="193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333333"/>
                      <w:spacing w:val="4"/>
                    </w:rPr>
                    <w:t>布隆防穿透</w:t>
                  </w:r>
                </w:p>
              </w:tc>
            </w:tr>
          </w:tbl>
          <w:p>
            <w:pPr>
              <w:spacing w:line="133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ind w:left="11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Tahoma" w:hAnsi="Tahoma" w:eastAsia="Tahoma" w:cs="Tahoma"/>
          <w:sz w:val="29"/>
          <w:szCs w:val="29"/>
          <w:b/>
          <w:bCs/>
          <w:color w:val="333333"/>
          <w:spacing w:val="-5"/>
        </w:rPr>
        <w:t>2.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5"/>
        </w:rPr>
        <w:t>参数配置</w:t>
      </w:r>
    </w:p>
    <w:p>
      <w:pPr>
        <w:pStyle w:val="BodyText"/>
        <w:ind w:left="2"/>
        <w:spacing w:before="210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67"/>
        </w:rPr>
        <w:t xml:space="preserve"> </w:t>
      </w:r>
      <w:r>
        <w:rPr>
          <w:shd w:val="clear" w:fill="F3F4F4"/>
          <w:color w:val="333333"/>
        </w:rPr>
        <w:t>backend</w:t>
      </w:r>
      <w:r>
        <w:rPr>
          <w:shd w:val="clear" w:fill="F3F4F4"/>
          <w:rFonts w:ascii="Tahoma" w:hAnsi="Tahoma" w:eastAsia="Tahoma" w:cs="Tahoma"/>
          <w:color w:val="333333"/>
          <w:spacing w:val="2"/>
        </w:rPr>
        <w:t>-</w:t>
      </w:r>
      <w:r>
        <w:rPr>
          <w:shd w:val="clear" w:fill="F3F4F4"/>
          <w:color w:val="333333"/>
        </w:rPr>
        <w:t>ai</w:t>
      </w:r>
      <w:r>
        <w:rPr>
          <w:shd w:val="clear" w:fill="F3F4F4"/>
          <w:color w:val="333333"/>
          <w:spacing w:val="2"/>
        </w:rPr>
        <w:t>/.</w:t>
      </w:r>
      <w:r>
        <w:rPr>
          <w:shd w:val="clear" w:fill="F3F4F4"/>
          <w:color w:val="333333"/>
        </w:rPr>
        <w:t>env</w:t>
      </w:r>
      <w:r>
        <w:rPr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中配置视觉语言大模型接口：</w:t>
      </w:r>
    </w:p>
    <w:p>
      <w:pPr>
        <w:spacing w:line="217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ind w:left="184"/>
              <w:spacing w:before="149" w:line="231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视觉语言模型：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GLM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-4V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3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(</w:t>
            </w:r>
            <w:r>
              <w:rPr>
                <w:rFonts w:ascii="NSimSun" w:hAnsi="NSimSun" w:eastAsia="NSimSun" w:cs="NSimSun"/>
                <w:sz w:val="17"/>
                <w:szCs w:val="17"/>
                <w:color w:val="333333"/>
                <w:spacing w:val="4"/>
              </w:rPr>
              <w:t>兼顾视觉理解与结构化输出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4"/>
              </w:rPr>
              <w:t>)</w:t>
            </w:r>
          </w:p>
          <w:p>
            <w:pPr>
              <w:ind w:left="181"/>
              <w:spacing w:before="69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3"/>
                <w:position w:val="1"/>
              </w:rPr>
              <w:t>VLM_API_KEY=xxxxxxxxxxxxxxxx</w:t>
            </w:r>
          </w:p>
          <w:p>
            <w:pPr>
              <w:ind w:left="181" w:right="3445"/>
              <w:spacing w:before="95" w:line="361" w:lineRule="auto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VLM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2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BASE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2"/>
              </w:rPr>
              <w:t>_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URL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2"/>
              </w:rPr>
              <w:t>=</w:t>
            </w:r>
            <w:hyperlink w:history="true" r:id="rId25"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https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2"/>
                </w:rPr>
                <w:t>://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open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2"/>
                </w:rPr>
                <w:t>.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bigmodel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2"/>
                </w:rPr>
                <w:t>.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cn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2"/>
                </w:rPr>
                <w:t>/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api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2"/>
                </w:rPr>
                <w:t>/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paas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2"/>
                </w:rPr>
                <w:t>/v4</w:t>
              </w:r>
            </w:hyperlink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 xml:space="preserve"> </w:t>
            </w:r>
            <w:hyperlink w:history="true" r:id="rId25"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VLM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0"/>
                </w:rPr>
                <w:t>_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MODEL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0"/>
                </w:rPr>
                <w:t>=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</w:rPr>
                <w:t>glm</w:t>
              </w:r>
              <w:r>
                <w:rPr>
                  <w:rFonts w:ascii="Lucida Console" w:hAnsi="Lucida Console" w:eastAsia="Lucida Console" w:cs="Lucida Console"/>
                  <w:sz w:val="17"/>
                  <w:szCs w:val="17"/>
                  <w:color w:val="333333"/>
                  <w:spacing w:val="10"/>
                </w:rPr>
                <w:t>-4v</w:t>
              </w:r>
            </w:hyperlink>
          </w:p>
        </w:tc>
      </w:tr>
    </w:tbl>
    <w:p>
      <w:pPr>
        <w:ind w:left="11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Tahoma" w:hAnsi="Tahoma" w:eastAsia="Tahoma" w:cs="Tahoma"/>
          <w:sz w:val="29"/>
          <w:szCs w:val="29"/>
          <w:b/>
          <w:bCs/>
          <w:color w:val="333333"/>
          <w:spacing w:val="-5"/>
        </w:rPr>
        <w:t>3.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5"/>
        </w:rPr>
        <w:t>运行模式</w:t>
      </w:r>
    </w:p>
    <w:p>
      <w:pPr>
        <w:ind w:left="2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4"/>
        </w:rPr>
        <w:t>全链路联合启动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ind w:left="190"/>
              <w:spacing w:before="161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docker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5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compose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up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2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  <w:spacing w:val="5"/>
              </w:rPr>
              <w:t>-d</w:t>
            </w:r>
          </w:p>
        </w:tc>
      </w:tr>
    </w:tbl>
    <w:p>
      <w:pPr>
        <w:pStyle w:val="BodyText"/>
        <w:ind w:left="1" w:right="143"/>
        <w:spacing w:before="283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启动后访问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5"/>
        </w:rPr>
        <w:t xml:space="preserve"> </w:t>
      </w:r>
      <w:hyperlink w:history="true" r:id="rId26">
        <w:r>
          <w:rPr>
            <w:shd w:val="clear" w:fill="F3F4F4"/>
            <w:color w:val="333333"/>
          </w:rPr>
          <w:t>http</w:t>
        </w:r>
        <w:r>
          <w:rPr>
            <w:shd w:val="clear" w:fill="F3F4F4"/>
            <w:color w:val="333333"/>
            <w:spacing w:val="8"/>
          </w:rPr>
          <w:t>://</w:t>
        </w:r>
        <w:r>
          <w:rPr>
            <w:shd w:val="clear" w:fill="F3F4F4"/>
            <w:color w:val="333333"/>
          </w:rPr>
          <w:t>localhost</w:t>
        </w:r>
        <w:r>
          <w:rPr>
            <w:shd w:val="clear" w:fill="F3F4F4"/>
            <w:color w:val="333333"/>
            <w:spacing w:val="8"/>
          </w:rPr>
          <w:t>/</w:t>
        </w:r>
      </w:hyperlink>
      <w:r>
        <w:rPr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即可打开医生工作站。系统内置</w:t>
      </w:r>
      <w:r>
        <w:rPr>
          <w:rFonts w:ascii="Tahoma" w:hAnsi="Tahoma" w:eastAsia="Tahoma" w:cs="Tahoma"/>
          <w:sz w:val="19"/>
          <w:szCs w:val="19"/>
          <w:color w:val="333333"/>
        </w:rPr>
        <w:t>HAPI</w:t>
      </w:r>
      <w:r>
        <w:rPr>
          <w:rFonts w:ascii="Tahoma" w:hAnsi="Tahoma" w:eastAsia="Tahoma" w:cs="Tahoma"/>
          <w:sz w:val="19"/>
          <w:szCs w:val="19"/>
          <w:color w:val="333333"/>
          <w:spacing w:val="8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FHIR</w:t>
      </w:r>
      <w:r>
        <w:rPr>
          <w:rFonts w:ascii="Tahoma" w:hAnsi="Tahoma" w:eastAsia="Tahoma" w:cs="Tahoma"/>
          <w:sz w:val="19"/>
          <w:szCs w:val="19"/>
          <w:color w:val="333333"/>
          <w:spacing w:val="8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Mock</w:t>
      </w:r>
      <w:r>
        <w:rPr>
          <w:rFonts w:ascii="Tahoma" w:hAnsi="Tahoma" w:eastAsia="Tahoma" w:cs="Tahoma"/>
          <w:sz w:val="19"/>
          <w:szCs w:val="19"/>
          <w:color w:val="333333"/>
          <w:spacing w:val="8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Server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自动灌入虚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拟患者数据，支持从</w:t>
      </w:r>
      <w:r>
        <w:rPr>
          <w:rFonts w:ascii="Tahoma" w:hAnsi="Tahoma" w:eastAsia="Tahoma" w:cs="Tahoma"/>
          <w:sz w:val="19"/>
          <w:szCs w:val="19"/>
          <w:color w:val="333333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临床数据接入 </w:t>
      </w:r>
      <w:r>
        <w:rPr>
          <w:rFonts w:ascii="Tahoma" w:hAnsi="Tahoma" w:eastAsia="Tahoma" w:cs="Tahoma"/>
          <w:sz w:val="19"/>
          <w:szCs w:val="19"/>
          <w:color w:val="333333"/>
        </w:rPr>
        <w:t>-&gt; EMPI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匹配 </w:t>
      </w:r>
      <w:r>
        <w:rPr>
          <w:rFonts w:ascii="Tahoma" w:hAnsi="Tahoma" w:eastAsia="Tahoma" w:cs="Tahoma"/>
          <w:sz w:val="19"/>
          <w:szCs w:val="19"/>
          <w:color w:val="333333"/>
        </w:rPr>
        <w:t>-&gt;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影像调阅 </w:t>
      </w:r>
      <w:r>
        <w:rPr>
          <w:rFonts w:ascii="Tahoma" w:hAnsi="Tahoma" w:eastAsia="Tahoma" w:cs="Tahoma"/>
          <w:sz w:val="19"/>
          <w:szCs w:val="19"/>
          <w:color w:val="333333"/>
        </w:rPr>
        <w:t>-&gt; AI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双轨流式诊断 </w:t>
      </w:r>
      <w:r>
        <w:rPr>
          <w:rFonts w:ascii="Tahoma" w:hAnsi="Tahoma" w:eastAsia="Tahoma" w:cs="Tahoma"/>
          <w:sz w:val="19"/>
          <w:szCs w:val="19"/>
          <w:color w:val="333333"/>
        </w:rPr>
        <w:t>-&gt;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生反馈</w:t>
      </w:r>
      <w:r>
        <w:rPr>
          <w:rFonts w:ascii="Tahoma" w:hAnsi="Tahoma" w:eastAsia="Tahoma" w:cs="Tahoma"/>
          <w:sz w:val="19"/>
          <w:szCs w:val="19"/>
          <w:color w:val="333333"/>
          <w:spacing w:val="-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的全流程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验证。</w:t>
      </w:r>
    </w:p>
    <w:p>
      <w:pPr>
        <w:spacing w:before="135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-1"/>
        </w:rPr>
        <w:t>AI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"/>
        </w:rPr>
        <w:t>管道独立调试 </w:t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-1"/>
        </w:rPr>
        <w:t>(Kiko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-1"/>
        </w:rPr>
        <w:t>开发域</w:t>
      </w:r>
      <w:r>
        <w:rPr>
          <w:rFonts w:ascii="Tahoma" w:hAnsi="Tahoma" w:eastAsia="Tahoma" w:cs="Tahoma"/>
          <w:sz w:val="19"/>
          <w:szCs w:val="19"/>
          <w:b/>
          <w:bCs/>
          <w:color w:val="333333"/>
          <w:spacing w:val="-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：</w:t>
      </w:r>
    </w:p>
    <w:p>
      <w:pPr>
        <w:spacing w:line="182" w:lineRule="auto"/>
        <w:sectPr>
          <w:headerReference w:type="default" r:id="rId20"/>
          <w:footerReference w:type="default" r:id="rId21"/>
          <w:pgSz w:w="11900" w:h="16839"/>
          <w:pgMar w:top="400" w:right="145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ind w:left="194"/>
              <w:spacing w:before="161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position w:val="-1"/>
              </w:rPr>
              <w:t>cd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18"/>
                <w:position w:val="-1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position w:val="-1"/>
              </w:rPr>
              <w:t>backend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1"/>
                <w:position w:val="-1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position w:val="-1"/>
              </w:rPr>
              <w:t>ai</w:t>
            </w:r>
          </w:p>
          <w:p>
            <w:pPr>
              <w:ind w:left="195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uvicorn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api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.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main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>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app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6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  <w:spacing w:val="6"/>
              </w:rPr>
              <w:t>--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</w:rPr>
              <w:t>reload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  <w:spacing w:val="32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  <w:spacing w:val="6"/>
              </w:rPr>
              <w:t>--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</w:rPr>
              <w:t>port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0000CC"/>
                <w:spacing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116644"/>
                <w:spacing w:val="6"/>
              </w:rPr>
              <w:t>8000</w:t>
            </w:r>
          </w:p>
          <w:p>
            <w:pPr>
              <w:ind w:left="184"/>
              <w:spacing w:before="82" w:line="239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7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7"/>
              </w:rPr>
              <w:t>仅启动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FastAPI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7"/>
              </w:rPr>
              <w:t>，可使用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Mock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7"/>
              </w:rPr>
              <w:t>影像路径直接测试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SSE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7"/>
              </w:rPr>
              <w:t>流式输出与防幻觉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6"/>
              </w:rPr>
              <w:t>拦截</w:t>
            </w:r>
          </w:p>
        </w:tc>
      </w:tr>
    </w:tbl>
    <w:p>
      <w:pPr>
        <w:ind w:left="2"/>
        <w:spacing w:before="282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</w:rPr>
        <w:t>应用服务独立调试 </w:t>
      </w:r>
      <w:r>
        <w:rPr>
          <w:rFonts w:ascii="Tahoma" w:hAnsi="Tahoma" w:eastAsia="Tahoma" w:cs="Tahoma"/>
          <w:sz w:val="19"/>
          <w:szCs w:val="19"/>
          <w:b/>
          <w:bCs/>
          <w:color w:val="333333"/>
        </w:rPr>
        <w:t>(Sun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</w:rPr>
        <w:t>开发域</w:t>
      </w:r>
      <w:r>
        <w:rPr>
          <w:rFonts w:ascii="Tahoma" w:hAnsi="Tahoma" w:eastAsia="Tahoma" w:cs="Tahoma"/>
          <w:sz w:val="19"/>
          <w:szCs w:val="19"/>
          <w:b/>
          <w:bCs/>
          <w:color w:val="333333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：</w:t>
      </w:r>
    </w:p>
    <w:p>
      <w:pPr>
        <w:spacing w:line="22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ind w:left="194"/>
              <w:spacing w:before="161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</w:rPr>
              <w:t>cd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00AA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backend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4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app</w:t>
            </w:r>
          </w:p>
          <w:p>
            <w:pPr>
              <w:ind w:left="187"/>
              <w:spacing w:before="94" w:line="176" w:lineRule="exact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mvn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spring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>-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boot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  <w:spacing w:val="18"/>
              </w:rPr>
              <w:t>: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333333"/>
              </w:rPr>
              <w:t>run</w:t>
            </w:r>
          </w:p>
          <w:p>
            <w:pPr>
              <w:ind w:left="184"/>
              <w:spacing w:before="82" w:line="231" w:lineRule="auto"/>
              <w:rPr>
                <w:rFonts w:ascii="NSimSun" w:hAnsi="NSimSun" w:eastAsia="NSimSun" w:cs="NSimSun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8"/>
              </w:rPr>
              <w:t>#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8"/>
              </w:rPr>
              <w:t>连接云端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  <w:spacing w:val="8"/>
              </w:rPr>
              <w:t>/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8"/>
              </w:rPr>
              <w:t>本地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AI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8"/>
              </w:rPr>
              <w:t>管道，测试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WebClient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8"/>
              </w:rPr>
              <w:t>异步代理与</w:t>
            </w:r>
            <w:r>
              <w:rPr>
                <w:rFonts w:ascii="Lucida Console" w:hAnsi="Lucida Console" w:eastAsia="Lucida Console" w:cs="Lucida Console"/>
                <w:sz w:val="17"/>
                <w:szCs w:val="17"/>
                <w:color w:val="AA5500"/>
              </w:rPr>
              <w:t>Sentinel</w:t>
            </w:r>
            <w:r>
              <w:rPr>
                <w:rFonts w:ascii="NSimSun" w:hAnsi="NSimSun" w:eastAsia="NSimSun" w:cs="NSimSun"/>
                <w:sz w:val="17"/>
                <w:szCs w:val="17"/>
                <w:color w:val="AA5500"/>
                <w:spacing w:val="8"/>
              </w:rPr>
              <w:t>熔断</w:t>
            </w:r>
          </w:p>
        </w:tc>
      </w:tr>
    </w:tbl>
    <w:p>
      <w:pPr>
        <w:spacing w:before="240" w:line="30" w:lineRule="exact"/>
        <w:rPr/>
      </w:pPr>
      <w:r>
        <w:rPr/>
        <w:drawing>
          <wp:inline distT="0" distB="0" distL="0" distR="0">
            <wp:extent cx="5612832" cy="1905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"/>
        <w:spacing w:before="279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476083</wp:posOffset>
            </wp:positionV>
            <wp:extent cx="5612832" cy="9529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架构约束与设计原则</w:t>
      </w:r>
    </w:p>
    <w:p>
      <w:pPr>
        <w:ind w:left="3" w:right="135" w:firstLine="3"/>
        <w:spacing w:before="292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为保障医疗系统的鲁棒性、可解释性与高可用，代码级实施了以下硬性约束，任何联调与迭代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均不可逾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>越：</w:t>
      </w:r>
    </w:p>
    <w:p>
      <w:pPr>
        <w:ind w:left="452" w:right="201" w:hanging="194"/>
        <w:spacing w:before="82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spacing w:val="5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5"/>
        </w:rPr>
        <w:t>可解释性约束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：严禁纯大模型黑盒输出。 </w:t>
      </w:r>
      <w:r>
        <w:rPr>
          <w:rFonts w:ascii="Tahoma" w:hAnsi="Tahoma" w:eastAsia="Tahoma" w:cs="Tahoma"/>
          <w:sz w:val="19"/>
          <w:szCs w:val="19"/>
          <w:color w:val="333333"/>
        </w:rPr>
        <w:t>AI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诊断结果若未生成</w:t>
      </w:r>
      <w:r>
        <w:rPr>
          <w:rFonts w:ascii="Tahoma" w:hAnsi="Tahoma" w:eastAsia="Tahoma" w:cs="Tahoma"/>
          <w:sz w:val="19"/>
          <w:szCs w:val="19"/>
          <w:color w:val="333333"/>
        </w:rPr>
        <w:t>Grad</w:t>
      </w:r>
      <w:r>
        <w:rPr>
          <w:rFonts w:ascii="Tahoma" w:hAnsi="Tahoma" w:eastAsia="Tahoma" w:cs="Tahoma"/>
          <w:sz w:val="19"/>
          <w:szCs w:val="19"/>
          <w:color w:val="333333"/>
          <w:spacing w:val="5"/>
        </w:rPr>
        <w:t>-</w:t>
      </w:r>
      <w:r>
        <w:rPr>
          <w:rFonts w:ascii="Tahoma" w:hAnsi="Tahoma" w:eastAsia="Tahoma" w:cs="Tahoma"/>
          <w:sz w:val="19"/>
          <w:szCs w:val="19"/>
          <w:color w:val="333333"/>
        </w:rPr>
        <w:t>CAM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热力图与</w:t>
      </w:r>
      <w:r>
        <w:rPr>
          <w:rFonts w:ascii="Tahoma" w:hAnsi="Tahoma" w:eastAsia="Tahoma" w:cs="Tahoma"/>
          <w:sz w:val="19"/>
          <w:szCs w:val="19"/>
          <w:color w:val="333333"/>
        </w:rPr>
        <w:t>RAG</w:t>
      </w:r>
      <w:r>
        <w:rPr>
          <w:rFonts w:ascii="Tahoma" w:hAnsi="Tahoma" w:eastAsia="Tahoma" w:cs="Tahoma"/>
          <w:sz w:val="19"/>
          <w:szCs w:val="19"/>
          <w:color w:val="333333"/>
          <w:spacing w:val="5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Citation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视为推理失败， 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侧抛出异常，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5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Sun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侧触发降级提示，禁止向医生展示无依据的诊断结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论。</w:t>
      </w:r>
    </w:p>
    <w:p>
      <w:pPr>
        <w:ind w:left="451" w:right="241" w:hanging="202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spacing w:val="10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0"/>
        </w:rPr>
        <w:t>渲染隔离约束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：前端严禁引入</w:t>
      </w:r>
      <w:r>
        <w:rPr>
          <w:rFonts w:ascii="Tahoma" w:hAnsi="Tahoma" w:eastAsia="Tahoma" w:cs="Tahoma"/>
          <w:sz w:val="19"/>
          <w:szCs w:val="19"/>
          <w:color w:val="333333"/>
        </w:rPr>
        <w:t>Cornerstone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等重度</w:t>
      </w:r>
      <w:r>
        <w:rPr>
          <w:rFonts w:ascii="Tahoma" w:hAnsi="Tahoma" w:eastAsia="Tahoma" w:cs="Tahoma"/>
          <w:sz w:val="19"/>
          <w:szCs w:val="19"/>
          <w:color w:val="333333"/>
        </w:rPr>
        <w:t>DICOM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库解析影像。所有医疗影像必须由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在后端预处理为</w:t>
      </w:r>
      <w:r>
        <w:rPr>
          <w:rFonts w:ascii="Tahoma" w:hAnsi="Tahoma" w:eastAsia="Tahoma" w:cs="Tahoma"/>
          <w:sz w:val="19"/>
          <w:szCs w:val="19"/>
          <w:color w:val="333333"/>
        </w:rPr>
        <w:t>Web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标准格式（</w:t>
      </w:r>
      <w:r>
        <w:rPr>
          <w:rFonts w:ascii="Tahoma" w:hAnsi="Tahoma" w:eastAsia="Tahoma" w:cs="Tahoma"/>
          <w:sz w:val="19"/>
          <w:szCs w:val="19"/>
          <w:color w:val="333333"/>
        </w:rPr>
        <w:t>PNG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前端仅负责图片渲染与内存管控。</w:t>
      </w:r>
    </w:p>
    <w:p>
      <w:pPr>
        <w:ind w:left="461" w:right="92" w:hanging="212"/>
        <w:spacing w:before="3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spacing w:val="5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5"/>
        </w:rPr>
        <w:t>阻塞降级约束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：严禁</w:t>
      </w:r>
      <w:r>
        <w:rPr>
          <w:rFonts w:ascii="Tahoma" w:hAnsi="Tahoma" w:eastAsia="Tahoma" w:cs="Tahoma"/>
          <w:sz w:val="19"/>
          <w:szCs w:val="19"/>
          <w:color w:val="333333"/>
        </w:rPr>
        <w:t>Sun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以同步阻塞方式调用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</w:t>
      </w:r>
      <w:r>
        <w:rPr>
          <w:rFonts w:ascii="Tahoma" w:hAnsi="Tahoma" w:eastAsia="Tahoma" w:cs="Tahoma"/>
          <w:sz w:val="19"/>
          <w:szCs w:val="19"/>
          <w:color w:val="333333"/>
        </w:rPr>
        <w:t>AI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接口。必须遵循异步</w:t>
      </w:r>
      <w:r>
        <w:rPr>
          <w:rFonts w:ascii="Tahoma" w:hAnsi="Tahoma" w:eastAsia="Tahoma" w:cs="Tahoma"/>
          <w:sz w:val="19"/>
          <w:szCs w:val="19"/>
          <w:color w:val="333333"/>
          <w:spacing w:val="5"/>
        </w:rPr>
        <w:t>+</w:t>
      </w:r>
      <w:r>
        <w:rPr>
          <w:rFonts w:ascii="Tahoma" w:hAnsi="Tahoma" w:eastAsia="Tahoma" w:cs="Tahoma"/>
          <w:sz w:val="19"/>
          <w:szCs w:val="19"/>
          <w:color w:val="333333"/>
        </w:rPr>
        <w:t>SSE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契约，且必须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实现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断连中断</w:t>
      </w:r>
      <w:r>
        <w:rPr>
          <w:rFonts w:ascii="Tahoma" w:hAnsi="Tahoma" w:eastAsia="Tahoma" w:cs="Tahoma"/>
          <w:sz w:val="19"/>
          <w:szCs w:val="19"/>
          <w:color w:val="333333"/>
        </w:rPr>
        <w:t>GPU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推理的机制，防止算力泄漏与</w:t>
      </w:r>
      <w:r>
        <w:rPr>
          <w:rFonts w:ascii="Tahoma" w:hAnsi="Tahoma" w:eastAsia="Tahoma" w:cs="Tahoma"/>
          <w:sz w:val="19"/>
          <w:szCs w:val="19"/>
          <w:color w:val="333333"/>
        </w:rPr>
        <w:t>Tomcat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雪崩。</w:t>
      </w:r>
    </w:p>
    <w:p>
      <w:pPr>
        <w:ind w:left="453" w:right="196" w:hanging="209"/>
        <w:spacing w:before="3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spacing w:val="7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7"/>
        </w:rPr>
        <w:t>数据建模约束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4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PostgreSQL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中严禁将高频查询字段（如病灶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类型、置信度）完全沉入</w:t>
      </w:r>
      <w:r>
        <w:rPr>
          <w:rFonts w:ascii="Tahoma" w:hAnsi="Tahoma" w:eastAsia="Tahoma" w:cs="Tahoma"/>
          <w:sz w:val="19"/>
          <w:szCs w:val="19"/>
          <w:color w:val="333333"/>
        </w:rPr>
        <w:t>JSONB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。必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须提取为独立关系化列并建</w:t>
      </w:r>
      <w:r>
        <w:rPr>
          <w:rFonts w:ascii="Tahoma" w:hAnsi="Tahoma" w:eastAsia="Tahoma" w:cs="Tahoma"/>
          <w:sz w:val="19"/>
          <w:szCs w:val="19"/>
          <w:color w:val="333333"/>
          <w:spacing w:val="6"/>
        </w:rPr>
        <w:t>B-</w:t>
      </w:r>
      <w:r>
        <w:rPr>
          <w:rFonts w:ascii="Tahoma" w:hAnsi="Tahoma" w:eastAsia="Tahoma" w:cs="Tahoma"/>
          <w:sz w:val="19"/>
          <w:szCs w:val="19"/>
          <w:color w:val="333333"/>
        </w:rPr>
        <w:t>Tree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索引，</w:t>
      </w:r>
      <w:r>
        <w:rPr>
          <w:rFonts w:ascii="Tahoma" w:hAnsi="Tahoma" w:eastAsia="Tahoma" w:cs="Tahoma"/>
          <w:sz w:val="19"/>
          <w:szCs w:val="19"/>
          <w:color w:val="333333"/>
        </w:rPr>
        <w:t>JSONB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仅用于存储</w:t>
      </w:r>
      <w:r>
        <w:rPr>
          <w:rFonts w:ascii="Tahoma" w:hAnsi="Tahoma" w:eastAsia="Tahoma" w:cs="Tahoma"/>
          <w:sz w:val="19"/>
          <w:szCs w:val="19"/>
          <w:color w:val="333333"/>
        </w:rPr>
        <w:t>VLM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描述等非结构化特征。</w:t>
      </w:r>
    </w:p>
    <w:p>
      <w:pPr>
        <w:pStyle w:val="BodyText"/>
        <w:ind w:left="453" w:right="187" w:hanging="201"/>
        <w:spacing w:before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Tahoma" w:hAnsi="Tahoma" w:eastAsia="Tahoma" w:cs="Tahoma"/>
          <w:sz w:val="19"/>
          <w:szCs w:val="19"/>
          <w:color w:val="333333"/>
          <w:spacing w:val="5"/>
        </w:rPr>
        <w:t>5.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5"/>
        </w:rPr>
        <w:t>契约先行约束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与</w:t>
      </w:r>
      <w:r>
        <w:rPr>
          <w:rFonts w:ascii="Tahoma" w:hAnsi="Tahoma" w:eastAsia="Tahoma" w:cs="Tahoma"/>
          <w:sz w:val="19"/>
          <w:szCs w:val="19"/>
          <w:color w:val="333333"/>
        </w:rPr>
        <w:t>Sun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的协作严格遵循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0"/>
          <w:w w:val="101"/>
        </w:rPr>
        <w:t xml:space="preserve"> </w:t>
      </w:r>
      <w:r>
        <w:rPr>
          <w:shd w:val="clear" w:fill="F3F4F4"/>
          <w:color w:val="333333"/>
        </w:rPr>
        <w:t>docs</w:t>
      </w:r>
      <w:r>
        <w:rPr>
          <w:shd w:val="clear" w:fill="F3F4F4"/>
          <w:color w:val="333333"/>
          <w:spacing w:val="5"/>
        </w:rPr>
        <w:t>/</w:t>
      </w:r>
      <w:r>
        <w:rPr>
          <w:shd w:val="clear" w:fill="F3F4F4"/>
          <w:color w:val="333333"/>
        </w:rPr>
        <w:t>api</w:t>
      </w:r>
      <w:r>
        <w:rPr>
          <w:shd w:val="clear" w:fill="F3F4F4"/>
          <w:rFonts w:ascii="Tahoma" w:hAnsi="Tahoma" w:eastAsia="Tahoma" w:cs="Tahoma"/>
          <w:color w:val="333333"/>
          <w:spacing w:val="5"/>
        </w:rPr>
        <w:t>-</w:t>
      </w:r>
      <w:r>
        <w:rPr>
          <w:shd w:val="clear" w:fill="F3F4F4"/>
          <w:color w:val="333333"/>
        </w:rPr>
        <w:t>contract</w:t>
      </w:r>
      <w:r>
        <w:rPr>
          <w:shd w:val="clear" w:fill="F3F4F4"/>
          <w:color w:val="333333"/>
          <w:spacing w:val="5"/>
        </w:rPr>
        <w:t>.</w:t>
      </w:r>
      <w:r>
        <w:rPr>
          <w:shd w:val="clear" w:fill="F3F4F4"/>
          <w:color w:val="333333"/>
        </w:rPr>
        <w:t>yaml</w:t>
      </w:r>
      <w:r>
        <w:rPr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定义的数据结构。 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可擅自变更</w:t>
      </w:r>
      <w:r>
        <w:rPr>
          <w:rFonts w:ascii="Tahoma" w:hAnsi="Tahoma" w:eastAsia="Tahoma" w:cs="Tahoma"/>
          <w:sz w:val="19"/>
          <w:szCs w:val="19"/>
          <w:color w:val="333333"/>
        </w:rPr>
        <w:t>SSE</w:t>
      </w:r>
      <w:r>
        <w:rPr>
          <w:rFonts w:ascii="Tahoma" w:hAnsi="Tahoma" w:eastAsia="Tahoma" w:cs="Tahoma"/>
          <w:sz w:val="19"/>
          <w:szCs w:val="19"/>
          <w:color w:val="333333"/>
          <w:spacing w:val="7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Event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格式，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rFonts w:ascii="Tahoma" w:hAnsi="Tahoma" w:eastAsia="Tahoma" w:cs="Tahoma"/>
          <w:sz w:val="19"/>
          <w:szCs w:val="19"/>
          <w:color w:val="333333"/>
        </w:rPr>
        <w:t>Sun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不可硬编码解析</w:t>
      </w:r>
      <w:r>
        <w:rPr>
          <w:rFonts w:ascii="Tahoma" w:hAnsi="Tahoma" w:eastAsia="Tahoma" w:cs="Tahoma"/>
          <w:sz w:val="19"/>
          <w:szCs w:val="19"/>
          <w:color w:val="333333"/>
        </w:rPr>
        <w:t>Kiko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未定义的字段，确保异构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系统高效并行开</w:t>
      </w:r>
    </w:p>
    <w:p>
      <w:pPr>
        <w:ind w:left="452"/>
        <w:spacing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8"/>
        </w:rPr>
        <w:t>发。</w:t>
      </w:r>
    </w:p>
    <w:sectPr>
      <w:pgSz w:w="11900" w:h="16839"/>
      <w:pgMar w:top="400" w:right="1444" w:bottom="400" w:left="15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2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978183</wp:posOffset>
          </wp:positionH>
          <wp:positionV relativeFrom="page">
            <wp:posOffset>9993023</wp:posOffset>
          </wp:positionV>
          <wp:extent cx="5612832" cy="9529"/>
          <wp:effectExtent l="0" t="0" r="0" b="0"/>
          <wp:wrapNone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9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 w:right="137"/>
      <w:spacing w:before="46" w:line="237" w:lineRule="auto"/>
      <w:jc w:val="both"/>
      <w:rPr>
        <w:rFonts w:ascii="Microsoft YaHei" w:hAnsi="Microsoft YaHei" w:eastAsia="Microsoft YaHei" w:cs="Microsoft YaHei"/>
        <w:sz w:val="19"/>
        <w:szCs w:val="19"/>
      </w:rPr>
    </w:pPr>
    <w:r>
      <w:rPr>
        <w:rFonts w:ascii="Microsoft YaHei" w:hAnsi="Microsoft YaHei" w:eastAsia="Microsoft YaHei" w:cs="Microsoft YaHei"/>
        <w:sz w:val="19"/>
        <w:szCs w:val="19"/>
        <w:color w:val="333333"/>
        <w:spacing w:val="8"/>
      </w:rPr>
      <w:t>针对</w:t>
    </w:r>
    <w:r>
      <w:rPr>
        <w:rFonts w:ascii="Tahoma" w:hAnsi="Tahoma" w:eastAsia="Tahoma" w:cs="Tahoma"/>
        <w:sz w:val="19"/>
        <w:szCs w:val="19"/>
        <w:color w:val="333333"/>
      </w:rPr>
      <w:t>AI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8"/>
      </w:rPr>
      <w:t>特征的高效查询需求，采取关系</w:t>
    </w:r>
    <w:r>
      <w:rPr>
        <w:rFonts w:ascii="Tahoma" w:hAnsi="Tahoma" w:eastAsia="Tahoma" w:cs="Tahoma"/>
        <w:sz w:val="19"/>
        <w:szCs w:val="19"/>
        <w:color w:val="333333"/>
        <w:spacing w:val="8"/>
      </w:rPr>
      <w:t>+</w:t>
    </w:r>
    <w:r>
      <w:rPr>
        <w:rFonts w:ascii="Tahoma" w:hAnsi="Tahoma" w:eastAsia="Tahoma" w:cs="Tahoma"/>
        <w:sz w:val="19"/>
        <w:szCs w:val="19"/>
        <w:color w:val="333333"/>
      </w:rPr>
      <w:t>JSONB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8"/>
      </w:rPr>
      <w:t>混合建模。除</w:t>
    </w:r>
    <w:r>
      <w:rPr>
        <w:shd w:val="clear" w:fill="F3F4F4"/>
        <w:rFonts w:ascii="Microsoft YaHei" w:hAnsi="Microsoft YaHei" w:eastAsia="Microsoft YaHei" w:cs="Microsoft YaHei"/>
        <w:sz w:val="19"/>
        <w:szCs w:val="19"/>
        <w:color w:val="333333"/>
        <w:spacing w:val="8"/>
      </w:rPr>
      <w:t xml:space="preserve"> </w:t>
    </w:r>
    <w:r>
      <w:rPr>
        <w:shd w:val="clear" w:fill="F3F4F4"/>
        <w:color w:val="333333"/>
      </w:rPr>
      <w:t>ai</w:t>
    </w:r>
    <w:r>
      <w:rPr>
        <w:shd w:val="clear" w:fill="F3F4F4"/>
        <w:color w:val="333333"/>
        <w:spacing w:val="8"/>
      </w:rPr>
      <w:t>_</w:t>
    </w:r>
    <w:r>
      <w:rPr>
        <w:shd w:val="clear" w:fill="F3F4F4"/>
        <w:color w:val="333333"/>
      </w:rPr>
      <w:t>features</w:t>
    </w:r>
    <w:r>
      <w:rPr>
        <w:shd w:val="clear" w:fill="F3F4F4"/>
        <w:color w:val="333333"/>
        <w:spacing w:val="8"/>
      </w:rPr>
      <w:t>(</w:t>
    </w:r>
    <w:r>
      <w:rPr>
        <w:shd w:val="clear" w:fill="F3F4F4"/>
        <w:color w:val="333333"/>
      </w:rPr>
      <w:t>JSONB</w:t>
    </w:r>
    <w:r>
      <w:rPr>
        <w:shd w:val="clear" w:fill="F3F4F4"/>
        <w:color w:val="333333"/>
        <w:spacing w:val="8"/>
      </w:rPr>
      <w:t>)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8"/>
      </w:rPr>
      <w:t>存储</w:t>
    </w:r>
    <w:r>
      <w:rPr>
        <w:rFonts w:ascii="Tahoma" w:hAnsi="Tahoma" w:eastAsia="Tahoma" w:cs="Tahoma"/>
        <w:sz w:val="19"/>
        <w:szCs w:val="19"/>
        <w:color w:val="333333"/>
      </w:rPr>
      <w:t>VLM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8"/>
      </w:rPr>
      <w:t>描述等非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11"/>
      </w:rPr>
      <w:t>结构化数据外，强制提取高频查询的</w:t>
    </w:r>
    <w:r>
      <w:rPr>
        <w:shd w:val="clear" w:fill="F3F4F4"/>
        <w:rFonts w:ascii="Microsoft YaHei" w:hAnsi="Microsoft YaHei" w:eastAsia="Microsoft YaHei" w:cs="Microsoft YaHei"/>
        <w:sz w:val="19"/>
        <w:szCs w:val="19"/>
        <w:color w:val="333333"/>
        <w:spacing w:val="11"/>
      </w:rPr>
      <w:t xml:space="preserve"> </w:t>
    </w:r>
    <w:r>
      <w:rPr>
        <w:shd w:val="clear" w:fill="F3F4F4"/>
        <w:color w:val="333333"/>
      </w:rPr>
      <w:t>lesion</w:t>
    </w:r>
    <w:r>
      <w:rPr>
        <w:shd w:val="clear" w:fill="F3F4F4"/>
        <w:color w:val="333333"/>
        <w:spacing w:val="11"/>
      </w:rPr>
      <w:t>_</w:t>
    </w:r>
    <w:r>
      <w:rPr>
        <w:shd w:val="clear" w:fill="F3F4F4"/>
        <w:color w:val="333333"/>
      </w:rPr>
      <w:t>type</w:t>
    </w:r>
    <w:r>
      <w:rPr>
        <w:shd w:val="clear" w:fill="F3F4F4"/>
        <w:color w:val="333333"/>
        <w:spacing w:val="11"/>
      </w:rPr>
      <w:t>_</w:t>
    </w:r>
    <w:r>
      <w:rPr>
        <w:shd w:val="clear" w:fill="F3F4F4"/>
        <w:color w:val="333333"/>
      </w:rPr>
      <w:t>varchar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11"/>
      </w:rPr>
      <w:t>和</w:t>
    </w:r>
    <w:r>
      <w:rPr>
        <w:shd w:val="clear" w:fill="F3F4F4"/>
        <w:rFonts w:ascii="Microsoft YaHei" w:hAnsi="Microsoft YaHei" w:eastAsia="Microsoft YaHei" w:cs="Microsoft YaHei"/>
        <w:sz w:val="19"/>
        <w:szCs w:val="19"/>
        <w:color w:val="333333"/>
        <w:spacing w:val="11"/>
      </w:rPr>
      <w:t xml:space="preserve"> </w:t>
    </w:r>
    <w:r>
      <w:rPr>
        <w:shd w:val="clear" w:fill="F3F4F4"/>
        <w:color w:val="333333"/>
      </w:rPr>
      <w:t>confidence</w:t>
    </w:r>
    <w:r>
      <w:rPr>
        <w:shd w:val="clear" w:fill="F3F4F4"/>
        <w:color w:val="333333"/>
        <w:spacing w:val="10"/>
      </w:rPr>
      <w:t>_</w:t>
    </w:r>
    <w:r>
      <w:rPr>
        <w:shd w:val="clear" w:fill="F3F4F4"/>
        <w:color w:val="333333"/>
      </w:rPr>
      <w:t>numeric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10"/>
      </w:rPr>
      <w:t>作为独立关系化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7"/>
      </w:rPr>
      <w:t>列，并辅以</w:t>
    </w:r>
    <w:r>
      <w:rPr>
        <w:shd w:val="clear" w:fill="F3F4F4"/>
        <w:rFonts w:ascii="Microsoft YaHei" w:hAnsi="Microsoft YaHei" w:eastAsia="Microsoft YaHei" w:cs="Microsoft YaHei"/>
        <w:sz w:val="19"/>
        <w:szCs w:val="19"/>
        <w:color w:val="333333"/>
        <w:spacing w:val="7"/>
      </w:rPr>
      <w:t xml:space="preserve"> </w:t>
    </w:r>
    <w:r>
      <w:rPr>
        <w:shd w:val="clear" w:fill="F3F4F4"/>
        <w:color w:val="333333"/>
      </w:rPr>
      <w:t>GIN</w:t>
    </w:r>
    <w:r>
      <w:rPr>
        <w:shd w:val="clear" w:fill="F3F4F4"/>
        <w:color w:val="333333"/>
        <w:spacing w:val="33"/>
      </w:rPr>
      <w:t xml:space="preserve"> </w:t>
    </w:r>
    <w:r>
      <w:rPr>
        <w:shd w:val="clear" w:fill="F3F4F4"/>
        <w:color w:val="333333"/>
        <w:spacing w:val="7"/>
      </w:rPr>
      <w:t>(</w:t>
    </w:r>
    <w:r>
      <w:rPr>
        <w:shd w:val="clear" w:fill="F3F4F4"/>
        <w:color w:val="333333"/>
      </w:rPr>
      <w:t>ai</w:t>
    </w:r>
    <w:r>
      <w:rPr>
        <w:shd w:val="clear" w:fill="F3F4F4"/>
        <w:color w:val="333333"/>
        <w:spacing w:val="7"/>
      </w:rPr>
      <w:t>_</w:t>
    </w:r>
    <w:r>
      <w:rPr>
        <w:shd w:val="clear" w:fill="F3F4F4"/>
        <w:color w:val="333333"/>
      </w:rPr>
      <w:t>features</w:t>
    </w:r>
    <w:r>
      <w:rPr>
        <w:shd w:val="clear" w:fill="F3F4F4"/>
        <w:color w:val="333333"/>
        <w:spacing w:val="7"/>
      </w:rPr>
      <w:t xml:space="preserve"> </w:t>
    </w:r>
    <w:r>
      <w:rPr>
        <w:shd w:val="clear" w:fill="F3F4F4"/>
        <w:color w:val="333333"/>
      </w:rPr>
      <w:t>jsonb</w:t>
    </w:r>
    <w:r>
      <w:rPr>
        <w:shd w:val="clear" w:fill="F3F4F4"/>
        <w:color w:val="333333"/>
        <w:spacing w:val="7"/>
      </w:rPr>
      <w:t>_</w:t>
    </w:r>
    <w:r>
      <w:rPr>
        <w:shd w:val="clear" w:fill="F3F4F4"/>
        <w:color w:val="333333"/>
      </w:rPr>
      <w:t>path</w:t>
    </w:r>
    <w:r>
      <w:rPr>
        <w:shd w:val="clear" w:fill="F3F4F4"/>
        <w:color w:val="333333"/>
        <w:spacing w:val="7"/>
      </w:rPr>
      <w:t>_</w:t>
    </w:r>
    <w:r>
      <w:rPr>
        <w:shd w:val="clear" w:fill="F3F4F4"/>
        <w:color w:val="333333"/>
      </w:rPr>
      <w:t>ops</w:t>
    </w:r>
    <w:r>
      <w:rPr>
        <w:shd w:val="clear" w:fill="F3F4F4"/>
        <w:color w:val="333333"/>
        <w:spacing w:val="7"/>
      </w:rPr>
      <w:t>)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7"/>
      </w:rPr>
      <w:t>索引，避免</w:t>
    </w:r>
    <w:r>
      <w:rPr>
        <w:rFonts w:ascii="Tahoma" w:hAnsi="Tahoma" w:eastAsia="Tahoma" w:cs="Tahoma"/>
        <w:sz w:val="19"/>
        <w:szCs w:val="19"/>
        <w:color w:val="333333"/>
      </w:rPr>
      <w:t>JSONB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7"/>
      </w:rPr>
      <w:t>滥用导致的全表扫描性能</w:t>
    </w:r>
    <w:r>
      <w:rPr>
        <w:rFonts w:ascii="Microsoft YaHei" w:hAnsi="Microsoft YaHei" w:eastAsia="Microsoft YaHei" w:cs="Microsoft YaHei"/>
        <w:sz w:val="19"/>
        <w:szCs w:val="19"/>
        <w:color w:val="333333"/>
        <w:spacing w:val="6"/>
      </w:rPr>
      <w:t>衰退。</w:t>
    </w:r>
  </w:p>
  <w:p>
    <w:pPr>
      <w:spacing w:before="163" w:line="20" w:lineRule="exact"/>
      <w:rPr/>
    </w:pPr>
    <w:r>
      <w:rPr/>
      <w:drawing>
        <wp:inline distT="0" distB="0" distL="0" distR="0">
          <wp:extent cx="5612832" cy="12708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127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Lucida Console" w:hAnsi="Lucida Console" w:eastAsia="Lucida Console" w:cs="Lucida Console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header" Target="header1.xml"/><Relationship Id="rId5" Type="http://schemas.openxmlformats.org/officeDocument/2006/relationships/hyperlink" Target="af://n25" TargetMode="External"/><Relationship Id="rId4" Type="http://schemas.openxmlformats.org/officeDocument/2006/relationships/image" Target="media/image2.jpeg"/><Relationship Id="rId31" Type="http://schemas.openxmlformats.org/officeDocument/2006/relationships/fontTable" Target="fontTable.xml"/><Relationship Id="rId30" Type="http://schemas.openxmlformats.org/officeDocument/2006/relationships/styles" Target="styles.xml"/><Relationship Id="rId3" Type="http://schemas.openxmlformats.org/officeDocument/2006/relationships/image" Target="media/image1.jpeg"/><Relationship Id="rId29" Type="http://schemas.openxmlformats.org/officeDocument/2006/relationships/settings" Target="settings.xml"/><Relationship Id="rId28" Type="http://schemas.openxmlformats.org/officeDocument/2006/relationships/image" Target="media/image16.jpeg"/><Relationship Id="rId27" Type="http://schemas.openxmlformats.org/officeDocument/2006/relationships/image" Target="media/image15.jpeg"/><Relationship Id="rId26" Type="http://schemas.openxmlformats.org/officeDocument/2006/relationships/hyperlink" Target="http://localhost/" TargetMode="External"/><Relationship Id="rId25" Type="http://schemas.openxmlformats.org/officeDocument/2006/relationships/hyperlink" Target="https://open.bigmodel.cn/api/paas/v4VLM_MODEL=glm-4v" TargetMode="External"/><Relationship Id="rId24" Type="http://schemas.openxmlformats.org/officeDocument/2006/relationships/image" Target="media/image14.png"/><Relationship Id="rId23" Type="http://schemas.openxmlformats.org/officeDocument/2006/relationships/hyperlink" Target="https://github.com/yourname/DermaIntegrate.git" TargetMode="External"/><Relationship Id="rId22" Type="http://schemas.openxmlformats.org/officeDocument/2006/relationships/hyperlink" Target="https://docs.nvidia.com/datacenter/cloud-native/container-toolkit/latest/install-guide.html" TargetMode="External"/><Relationship Id="rId21" Type="http://schemas.openxmlformats.org/officeDocument/2006/relationships/footer" Target="footer2.xml"/><Relationship Id="rId20" Type="http://schemas.openxmlformats.org/officeDocument/2006/relationships/header" Target="header3.xml"/><Relationship Id="rId2" Type="http://schemas.openxmlformats.org/officeDocument/2006/relationships/hyperlink" Target="af://n7" TargetMode="Externa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hyperlink" Target="request.is_disconnected" TargetMode="External"/><Relationship Id="rId12" Type="http://schemas.openxmlformats.org/officeDocument/2006/relationships/hyperlink" Target="Request.is_disconnected" TargetMode="Externa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hyperlink" Target="af://n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2026-06-02T21:56:52Z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2026-06-12T06:39:03</vt:filetime>
  </property>
</Properties>
</file>