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8"/>
        </w:rPr>
        <w:t>TESIS DE INVERSIÓN</w:t>
      </w:r>
    </w:p>
    <w:p>
      <w:pPr>
        <w:jc w:val="center"/>
      </w:pPr>
      <w:r>
        <w:rPr>
          <w:color w:val="2E74B5"/>
          <w:sz w:val="32"/>
        </w:rPr>
        <w:t>AAPL — Apple Inc.</w:t>
      </w:r>
    </w:p>
    <w:p/>
    <w:p>
      <w:pPr>
        <w:jc w:val="center"/>
      </w:pPr>
      <w:r>
        <w:rPr>
          <w:sz w:val="24"/>
        </w:rPr>
        <w:t>02 de March de 2026</w:t>
      </w:r>
    </w:p>
    <w:p/>
    <w:p>
      <w:pPr>
        <w:jc w:val="center"/>
      </w:pPr>
      <w:r>
        <w:rPr>
          <w:i/>
          <w:color w:val="808080"/>
        </w:rPr>
        <w:t>Documento de análisis personal — No es consejo de inversión</w:t>
      </w:r>
    </w:p>
    <w:p>
      <w:r>
        <w:br w:type="page"/>
      </w:r>
    </w:p>
    <w:p>
      <w:pPr>
        <w:pStyle w:val="Heading2"/>
      </w:pPr>
      <w:r>
        <w:t>AAPL — Apple Inc. | SOBREVALORADA</w:t>
      </w:r>
    </w:p>
    <w:p/>
    <w:p>
      <w:pPr>
        <w:pStyle w:val="Heading3"/>
      </w:pPr>
      <w:r>
        <w:t>Resumen ejecutivo</w:t>
      </w:r>
    </w:p>
    <w:p>
      <w:r>
        <w:t>Precio actual: 264.18 | Objetivo: 180.00 | MoS: -31.9%</w:t>
      </w:r>
    </w:p>
    <w:p/>
    <w:p>
      <w:pPr>
        <w:pStyle w:val="Heading3"/>
      </w:pPr>
      <w:r>
        <w:t>El negocio</w:t>
      </w:r>
    </w:p>
    <w:p>
      <w:r>
        <w:t>Apple diseña y vende hardware, software y servicios premium.</w:t>
      </w:r>
    </w:p>
    <w:p>
      <w:r>
        <w:t xml:space="preserve">Su </w:t>
      </w:r>
      <w:r>
        <w:rPr>
          <w:b/>
        </w:rPr>
        <w:t>moat</w:t>
      </w:r>
      <w:r>
        <w:t xml:space="preserve"> es el ecosistema iOS y la fidelidad de sus usuarios.</w:t>
      </w:r>
    </w:p>
    <w:p/>
    <w:p>
      <w:pPr>
        <w:pStyle w:val="Heading3"/>
      </w:pPr>
      <w:r>
        <w:t>Análisis financiero</w:t>
      </w:r>
    </w:p>
    <w:p>
      <w:pPr>
        <w:pStyle w:val="ListBullet"/>
      </w:pPr>
      <w:r>
        <w:t>Revenue: 394→383→391→416B (crecimiento moderado)</w:t>
      </w:r>
    </w:p>
    <w:p>
      <w:pPr>
        <w:pStyle w:val="ListBullet"/>
      </w:pPr>
      <w:r>
        <w:t>FCF: 111→100→109→99B (estable pero sin aceleración)</w:t>
      </w:r>
    </w:p>
    <w:p>
      <w:pPr>
        <w:pStyle w:val="ListBullet"/>
      </w:pPr>
      <w:r>
        <w:t>Márgenes: Gross 47% | Op 32% | Net 27%</w:t>
      </w:r>
    </w:p>
    <w:p/>
    <w:p>
      <w:pPr>
        <w:pStyle w:val="Heading3"/>
      </w:pPr>
      <w:r>
        <w:t>Valoración DCF</w:t>
      </w:r>
    </w:p>
    <w:p>
      <w:pPr>
        <w:pStyle w:val="ListBullet"/>
      </w:pPr>
      <w:r>
        <w:t>Conservador: 63.71</w:t>
      </w:r>
    </w:p>
    <w:p>
      <w:pPr>
        <w:pStyle w:val="ListBullet"/>
      </w:pPr>
      <w:r>
        <w:t>Base: 66.23</w:t>
      </w:r>
    </w:p>
    <w:p>
      <w:pPr>
        <w:pStyle w:val="ListBullet"/>
      </w:pPr>
      <w:r>
        <w:t>Optimista: 68.12</w:t>
      </w:r>
    </w:p>
    <w:p/>
    <w:p>
      <w:pPr>
        <w:pStyle w:val="Heading3"/>
      </w:pPr>
      <w:r>
        <w:t>Riesgos</w:t>
      </w:r>
    </w:p>
    <w:p>
      <w:pPr>
        <w:pStyle w:val="ListNumber"/>
      </w:pPr>
      <w:r>
        <w:t>Dependencia del iPhone (52% de ingresos)</w:t>
      </w:r>
    </w:p>
    <w:p>
      <w:pPr>
        <w:pStyle w:val="ListNumber"/>
      </w:pPr>
      <w:r>
        <w:t>Saturación del mercado premium</w:t>
      </w:r>
    </w:p>
    <w:p>
      <w:pPr>
        <w:pStyle w:val="ListNumber"/>
      </w:pPr>
      <w:r>
        <w:t>Tensiones regulatorias en Europa</w:t>
      </w:r>
    </w:p>
    <w:p/>
    <w:p>
      <w:pPr>
        <w:pStyle w:val="Heading3"/>
      </w:pPr>
      <w:r>
        <w:t>Conclusión</w:t>
      </w:r>
    </w:p>
    <w:p>
      <w:r>
        <w:t>Apple es una empresa excepcional a un precio excesivo.</w:t>
      </w:r>
    </w:p>
    <w:p/>
    <w:p>
      <w:r>
        <w:rPr>
          <w:i/>
        </w:rPr>
        <w:t>No es consejo de inversión.</w:t>
      </w:r>
    </w:p>
    <w:p/>
    <w:p/>
    <w:p>
      <w:pPr>
        <w:jc w:val="center"/>
      </w:pPr>
      <w:r>
        <w:rPr>
          <w:i/>
          <w:color w:val="808080"/>
          <w:sz w:val="18"/>
        </w:rPr>
        <w:t>Este documento es de uso personal y educativo. No constituye consejo de inversión. Invierte con criterio propio y conocimiento de los riesgos.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