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48"/>
        </w:rPr>
        <w:t>TESIS DE INVERSIÓN</w:t>
      </w:r>
    </w:p>
    <w:p>
      <w:pPr>
        <w:jc w:val="center"/>
      </w:pPr>
      <w:r>
        <w:rPr>
          <w:color w:val="2E74B5"/>
          <w:sz w:val="32"/>
        </w:rPr>
        <w:t>MSFT — Microsoft Corporation</w:t>
      </w:r>
    </w:p>
    <w:p/>
    <w:p>
      <w:pPr>
        <w:jc w:val="center"/>
      </w:pPr>
      <w:r>
        <w:rPr>
          <w:sz w:val="24"/>
        </w:rPr>
        <w:t>02 de March de 2026</w:t>
      </w:r>
    </w:p>
    <w:p/>
    <w:p>
      <w:pPr>
        <w:jc w:val="center"/>
      </w:pPr>
      <w:r>
        <w:rPr>
          <w:i/>
          <w:color w:val="808080"/>
        </w:rPr>
        <w:t>Documento de análisis personal — No es consejo de inversión</w:t>
      </w:r>
    </w:p>
    <w:p>
      <w:r>
        <w:br w:type="page"/>
      </w:r>
    </w:p>
    <w:p>
      <w:pPr>
        <w:pStyle w:val="Heading2"/>
      </w:pPr>
      <w:r>
        <w:t>MSFT — Microsoft Corporation | ⚠️ SOBREVALORADA</w:t>
      </w:r>
    </w:p>
    <w:p/>
    <w:p>
      <w:pPr>
        <w:pStyle w:val="Heading3"/>
      </w:pPr>
      <w:r>
        <w:t>Resumen ejecutivo</w:t>
      </w:r>
    </w:p>
    <w:p/>
    <w:p>
      <w:r>
        <w:t xml:space="preserve">Microsoft cotiza actualmente a </w:t>
      </w:r>
      <w:r>
        <w:rPr>
          <w:b/>
        </w:rPr>
        <w:t>$399.75 por acción</w:t>
      </w:r>
      <w:r>
        <w:t xml:space="preserve">, frente a un precio objetivo DCF base de </w:t>
      </w:r>
      <w:r>
        <w:rPr>
          <w:b/>
        </w:rPr>
        <w:t>$102.32</w:t>
      </w:r>
      <w:r>
        <w:t xml:space="preserve">, lo que implica una prima del </w:t>
      </w:r>
      <w:r>
        <w:rPr>
          <w:b/>
        </w:rPr>
        <w:t>290% sobre el valor intrínseco estimado</w:t>
      </w:r>
      <w:r>
        <w:t xml:space="preserve"> y un margen de seguridad de </w:t>
      </w:r>
      <w:r>
        <w:rPr>
          <w:b/>
        </w:rPr>
        <w:t>-74.4%</w:t>
      </w:r>
      <w:r>
        <w:t xml:space="preserve">. Estamos ante uno de los mejores negocios del mundo cotizando a un precio que, desde una perspectiva value estricta, no es defendible. </w:t>
      </w:r>
      <w:r>
        <w:rPr>
          <w:b/>
        </w:rPr>
        <w:t>Recomendación: no comprar a precios actuales. Esperar corrección significativa.</w:t>
      </w:r>
    </w:p>
    <w:p/>
    <w:p/>
    <w:p/>
    <w:p>
      <w:pPr>
        <w:pStyle w:val="Heading3"/>
      </w:pPr>
      <w:r>
        <w:t>El negocio</w:t>
      </w:r>
    </w:p>
    <w:p/>
    <w:p>
      <w:r>
        <w:t xml:space="preserve">Microsoft es uno de los conglomerados tecnológicos más poderosos del planeta. Opera en tres segmentos principales: </w:t>
      </w:r>
      <w:r>
        <w:rPr>
          <w:b/>
        </w:rPr>
        <w:t>Productividad y Procesos de Negocio</w:t>
      </w:r>
      <w:r>
        <w:t xml:space="preserve"> (Office 365, Teams, LinkedIn), </w:t>
      </w:r>
      <w:r>
        <w:rPr>
          <w:b/>
        </w:rPr>
        <w:t>Intelligent Cloud</w:t>
      </w:r>
      <w:r>
        <w:t xml:space="preserve"> (Azure, SQL Server, GitHub) y </w:t>
      </w:r>
      <w:r>
        <w:rPr>
          <w:b/>
        </w:rPr>
        <w:t>More Personal Computing</w:t>
      </w:r>
      <w:r>
        <w:t xml:space="preserve"> (Windows, Xbox, Surface).</w:t>
      </w:r>
    </w:p>
    <w:p/>
    <w:p>
      <w:r>
        <w:t xml:space="preserve">Su ventaja competitiva o </w:t>
      </w:r>
      <w:r>
        <w:rPr>
          <w:i/>
        </w:rPr>
        <w:t>moat</w:t>
      </w:r>
      <w:r>
        <w:t xml:space="preserve"> es de los más sólidos que existen en el universo empresarial:</w:t>
      </w:r>
    </w:p>
    <w:p/>
    <w:p>
      <w:pPr>
        <w:pStyle w:val="ListBullet"/>
      </w:pPr>
      <w:r>
        <w:t>**Ecosistema integrado y costes de cambio elevadísimos**: una empresa que usa Azure, Teams, Office 365 y GitHub simultáneamente tiene un coste de migración prohibitivo, tanto económico como operativo.</w:t>
      </w:r>
    </w:p>
    <w:p>
      <w:pPr>
        <w:pStyle w:val="ListBullet"/>
      </w:pPr>
      <w:r>
        <w:t>**Efectos de red**: Teams, LinkedIn y GitHub se vuelven más valiosos cuantos más usuarios los adoptan.</w:t>
      </w:r>
    </w:p>
    <w:p>
      <w:pPr>
        <w:pStyle w:val="ListBullet"/>
      </w:pPr>
      <w:r>
        <w:t>**Liderazgo en IA empresarial**: la alianza estratégica con OpenAI y el despliegue de Copilot en todo el ecosistema posiciona a Microsoft como el canal preferente de monetización de IA generativa en el entorno corporativo.</w:t>
      </w:r>
    </w:p>
    <w:p>
      <w:pPr>
        <w:pStyle w:val="ListBullet"/>
      </w:pPr>
      <w:r>
        <w:t>**Dominancia en el mercado empresarial global**: presencia en prácticamente todas las grandes corporaciones del mundo, con contratos plurianuales y renovaciones casi automáticas.</w:t>
      </w:r>
    </w:p>
    <w:p/>
    <w:p>
      <w:r>
        <w:t>Este moat es real, profundo y duradero. El problema no es el negocio; es el precio.</w:t>
      </w:r>
    </w:p>
    <w:p/>
    <w:p/>
    <w:p/>
    <w:p>
      <w:pPr>
        <w:pStyle w:val="Heading3"/>
      </w:pPr>
      <w:r>
        <w:t>Análisis financiero</w:t>
      </w:r>
    </w:p>
    <w:p/>
    <w:p>
      <w:r>
        <w:t>Los fundamentales de Microsoft son, objetivamente, de primer nivel:</w:t>
      </w:r>
    </w:p>
    <w:p/>
    <w:p>
      <w:r>
        <w:t>| Métrica | Valor |</w:t>
      </w:r>
    </w:p>
    <w:p>
      <w:r>
        <w:t>|---|---|</w:t>
      </w:r>
    </w:p>
    <w:p>
      <w:r>
        <w:t>| Crecimiento de ingresos (último año) | +15% |</w:t>
      </w:r>
    </w:p>
    <w:p>
      <w:r>
        <w:t>| Margen operativo | 46% |</w:t>
      </w:r>
    </w:p>
    <w:p>
      <w:r>
        <w:t>| Margen neto | 36% |</w:t>
      </w:r>
    </w:p>
    <w:p>
      <w:r>
        <w:t>| Free Cash Flow | $72B |</w:t>
      </w:r>
    </w:p>
    <w:p>
      <w:r>
        <w:t>| ROIC | 25% |</w:t>
      </w:r>
    </w:p>
    <w:p>
      <w:r>
        <w:t>| ROE | 30% |</w:t>
      </w:r>
    </w:p>
    <w:p>
      <w:r>
        <w:t>| Deuda/Equity (D/E) | 0.18x |</w:t>
      </w:r>
    </w:p>
    <w:p/>
    <w:p>
      <w:r>
        <w:t xml:space="preserve">El crecimiento del 15% en ingresos está siendo impulsado fundamentalmente por </w:t>
      </w:r>
      <w:r>
        <w:rPr>
          <w:b/>
        </w:rPr>
        <w:t>Azure</w:t>
      </w:r>
      <w:r>
        <w:t xml:space="preserve"> (que compite directamente con AWS y Google Cloud en el mercado de cloud empresarial) y por la monetización progresiva de </w:t>
      </w:r>
      <w:r>
        <w:rPr>
          <w:b/>
        </w:rPr>
        <w:t>Copilot</w:t>
      </w:r>
      <w:r>
        <w:t xml:space="preserve"> a través de sus licencias M365.</w:t>
      </w:r>
    </w:p>
    <w:p/>
    <w:p>
      <w:r>
        <w:t xml:space="preserve">Sin embargo, hay una señal de alerta relevante: el </w:t>
      </w:r>
      <w:r>
        <w:rPr>
          <w:b/>
        </w:rPr>
        <w:t>FCF de $72B cayó respecto al año anterior</w:t>
      </w:r>
      <w:r>
        <w:t xml:space="preserve"> a pesar del crecimiento en ingresos. La causa es el </w:t>
      </w:r>
      <w:r>
        <w:rPr>
          <w:b/>
        </w:rPr>
        <w:t>capex masivo en infraestructura de IA</w:t>
      </w:r>
      <w:r>
        <w:t xml:space="preserve"> (centros de datos, chips, energía). Microsoft está apostando fuerte por el futuro, pero esa apuesta tiene un coste presente que ya empieza a comprimir la generación de caja. La pregunta clave es si esa inversión madurará con los retornos que el mercado anticipa.</w:t>
      </w:r>
    </w:p>
    <w:p/>
    <w:p>
      <w:r>
        <w:t>Los márgenes del 46% operativo y 36% neto reflejan un poder de fijación de precios excepcional y economías de escala que muy pocas empresas en el mundo pueden replicar. El balance es prácticamente impecable, con un ratio D/E de apenas 0.18x, lo que dota a la compañía de total flexibilidad financiera.</w:t>
      </w:r>
    </w:p>
    <w:p/>
    <w:p/>
    <w:p/>
    <w:p>
      <w:pPr>
        <w:pStyle w:val="Heading3"/>
      </w:pPr>
      <w:r>
        <w:t>Valoración DCF</w:t>
      </w:r>
    </w:p>
    <w:p/>
    <w:p>
      <w:r>
        <w:t>El análisis DCF bajo tres escenarios arroja los siguientes resultados:</w:t>
      </w:r>
    </w:p>
    <w:p/>
    <w:p>
      <w:r>
        <w:t>| Escenario | Valor intrínseco | Prima actual |</w:t>
      </w:r>
    </w:p>
    <w:p>
      <w:r>
        <w:t>|---|---|---|</w:t>
      </w:r>
    </w:p>
    <w:p>
      <w:r>
        <w:t xml:space="preserve">| </w:t>
      </w:r>
      <w:r>
        <w:rPr>
          <w:b/>
        </w:rPr>
        <w:t>Conservador</w:t>
      </w:r>
      <w:r>
        <w:t xml:space="preserve"> | $96.21 | +316% |</w:t>
      </w:r>
    </w:p>
    <w:p>
      <w:r>
        <w:t xml:space="preserve">| </w:t>
      </w:r>
      <w:r>
        <w:rPr>
          <w:b/>
        </w:rPr>
        <w:t>Base</w:t>
      </w:r>
      <w:r>
        <w:t xml:space="preserve"> | $102.32 | +291% |</w:t>
      </w:r>
    </w:p>
    <w:p>
      <w:r>
        <w:t xml:space="preserve">| </w:t>
      </w:r>
      <w:r>
        <w:rPr>
          <w:b/>
        </w:rPr>
        <w:t>Optimista</w:t>
      </w:r>
      <w:r>
        <w:t xml:space="preserve"> | $107.69 | +271% |</w:t>
      </w:r>
    </w:p>
    <w:p/>
    <w:p>
      <w:r>
        <w:t xml:space="preserve">Incluso en el </w:t>
      </w:r>
      <w:r>
        <w:rPr>
          <w:b/>
        </w:rPr>
        <w:t>escenario más optimista</w:t>
      </w:r>
      <w:r>
        <w:t xml:space="preserve">, el valor intrínseco calculado es de </w:t>
      </w:r>
      <w:r>
        <w:rPr>
          <w:b/>
        </w:rPr>
        <w:t>$107.69</w:t>
      </w:r>
      <w:r>
        <w:t xml:space="preserve">, frente a los $399.75 a los que cotiza hoy. Esto significa que el mercado está descontando un escenario que va </w:t>
      </w:r>
      <w:r>
        <w:rPr>
          <w:b/>
        </w:rPr>
        <w:t>más allá del más optimista</w:t>
      </w:r>
      <w:r>
        <w:t xml:space="preserve"> contemplado en el modelo, asumiendo décadas de crecimiento acelerado en IA y cloud con márgenes sostenidos o crecientes.</w:t>
      </w:r>
    </w:p>
    <w:p/>
    <w:p>
      <w:r>
        <w:t>Para justificar los $399.75 actuales mediante un DCF tradicional, sería necesario asumir tasas de crecimiento de ingresos sostenidas en doble dígito alto durante 10-15 años con expansión simultánea de márgenes, un escenario que la historia empresarial ha demostrado que es extraordinariamente difícil de mantener incluso para las mejores compañías del mundo.</w:t>
      </w:r>
    </w:p>
    <w:p/>
    <w:p>
      <w:r>
        <w:t xml:space="preserve">El precio actual no es un precio de valor; es un precio de </w:t>
      </w:r>
      <w:r>
        <w:rPr>
          <w:b/>
        </w:rPr>
        <w:t>fe en la narrativa de IA</w:t>
      </w:r>
      <w:r>
        <w:t>. Puede que esa narrativa se cumpla, pero un inversor value no paga por narrativas; paga por flujos de caja descontados.</w:t>
      </w:r>
    </w:p>
    <w:p/>
    <w:p/>
    <w:p/>
    <w:p>
      <w:pPr>
        <w:pStyle w:val="Heading3"/>
      </w:pPr>
      <w:r>
        <w:t>Riesgos principales</w:t>
      </w:r>
    </w:p>
    <w:p/>
    <w:p>
      <w:pPr>
        <w:pStyle w:val="ListNumber"/>
      </w:pPr>
      <w:r>
        <w:t>**Riesgo de valoración extrema**: Con el escenario DCF optimista soportando apenas $107 por acción, cualquier decepción en el ritmo de monetización de IA, desaceleración de Azure o revisión de múltiplos del sector podría desencadenar una corrección del 50-70% sin que el negocio subyacente haya empeorado materialmente.</w:t>
      </w:r>
    </w:p>
    <w:p/>
    <w:p>
      <w:pPr>
        <w:pStyle w:val="ListNumber"/>
      </w:pPr>
      <w:r>
        <w:t>**Intensificación competitiva en cloud e IA**: AWS de Amazon y Google Cloud siguen ganando musculatura. En IA generativa, la ventaja de Microsoft no es tan inalcanzable como en su negocio de productividad. Google (con Gemini) y Amazon (con Bedrock) presentan alternativas serias que podrían erosionar cuota de mercado y presionar márgenes antes de que el masivo capex actual genere retornos.</w:t>
      </w:r>
    </w:p>
    <w:p/>
    <w:p>
      <w:pPr>
        <w:pStyle w:val="ListNumber"/>
      </w:pPr>
      <w:r>
        <w:t>**Presión en el capex y compresión de FCF**: Las inversiones en infraestructura de IA son enormes y de maduración lenta. Si el retorno sobre esas inversiones tarda más de lo esperado o es inferior al anticipado, el FCF seguirá bajo presión y la narrativa que sostiene la valoración se debilitará.</w:t>
      </w:r>
    </w:p>
    <w:p/>
    <w:p>
      <w:pPr>
        <w:pStyle w:val="ListNumber"/>
      </w:pPr>
      <w:r>
        <w:t>**Entorno macro y gasto corporativo**: Tensiones geopolíticas, política comercial estadounidense y posible desaceleración económica global pueden frenar el gasto corporativo en software y cloud, los dos motores de crecimiento principales de Microsoft.</w:t>
      </w:r>
    </w:p>
    <w:p/>
    <w:p/>
    <w:p/>
    <w:p>
      <w:pPr>
        <w:pStyle w:val="Heading3"/>
      </w:pPr>
      <w:r>
        <w:t>Catalizadores</w:t>
      </w:r>
    </w:p>
    <w:p/>
    <w:p>
      <w:r>
        <w:rPr>
          <w:b/>
        </w:rPr>
        <w:t>Al alza (que podrían mantener o inflar el precio):</w:t>
      </w:r>
    </w:p>
    <w:p>
      <w:pPr>
        <w:pStyle w:val="ListBullet"/>
      </w:pPr>
      <w:r>
        <w:t>Aceleración en la adopción y monetización de Copilot con evidencia de aumento en ingresos por usuario.</w:t>
      </w:r>
    </w:p>
    <w:p>
      <w:pPr>
        <w:pStyle w:val="ListBullet"/>
      </w:pPr>
      <w:r>
        <w:t>Azure ganando cuota de mercado frente a AWS con tasas de crecimiento que superen expectativas trimestralmente.</w:t>
      </w:r>
    </w:p>
    <w:p>
      <w:pPr>
        <w:pStyle w:val="ListBullet"/>
      </w:pPr>
      <w:r>
        <w:t>Expansión de márgenes operativos conforme el capex en IA comience a generar retornos.</w:t>
      </w:r>
    </w:p>
    <w:p>
      <w:pPr>
        <w:pStyle w:val="ListBullet"/>
      </w:pPr>
      <w:r>
        <w:t>Nuevos contratos o alianzas estratégicas que consoliden el liderazgo en IA empresarial.</w:t>
      </w:r>
    </w:p>
    <w:p/>
    <w:p>
      <w:r>
        <w:rPr>
          <w:b/>
        </w:rPr>
        <w:t>A la baja (catalizadores de corrección, relevantes para el inversor value):</w:t>
      </w:r>
    </w:p>
    <w:p>
      <w:pPr>
        <w:pStyle w:val="ListBullet"/>
      </w:pPr>
      <w:r>
        <w:t>Decepción en resultados trimestrales de Azure o guidance conservador.</w:t>
      </w:r>
    </w:p>
    <w:p>
      <w:pPr>
        <w:pStyle w:val="ListBullet"/>
      </w:pPr>
      <w:r>
        <w:t>Evidencia de que la monetización de IA está tardando más de lo esperado.</w:t>
      </w:r>
    </w:p>
    <w:p>
      <w:pPr>
        <w:pStyle w:val="ListBullet"/>
      </w:pPr>
      <w:r>
        <w:t>Expansión de la regulación antimonopolio sobre el ecosistema Microsoft-OpenAI.</w:t>
      </w:r>
    </w:p>
    <w:p>
      <w:pPr>
        <w:pStyle w:val="ListBullet"/>
      </w:pPr>
      <w:r>
        <w:t>Rotación sectorial desde tecnología de alto múltiplo hacia sectores más defensivos en un entorno de aversión al riesgo.</w:t>
      </w:r>
    </w:p>
    <w:p/>
    <w:p/>
    <w:p/>
    <w:p>
      <w:pPr>
        <w:pStyle w:val="Heading3"/>
      </w:pPr>
      <w:r>
        <w:t>Conclusión y plan de acción</w:t>
      </w:r>
    </w:p>
    <w:p/>
    <w:p>
      <w:r>
        <w:t xml:space="preserve">Microsoft es, sin ninguna duda, </w:t>
      </w:r>
      <w:r>
        <w:rPr>
          <w:b/>
        </w:rPr>
        <w:t>una de las mejores empresas del mundo</w:t>
      </w:r>
      <w:r>
        <w:t>. Su moat, sus márgenes, su balance y su posicionamiento en IA son difícilmente cuestionables. Si alguien tiene que ganar en el mundo empresarial de la próxima década, Microsoft está en el grupo más selecto de candidatos.</w:t>
      </w:r>
    </w:p>
    <w:p/>
    <w:p>
      <w:r>
        <w:rPr>
          <w:b/>
        </w:rPr>
        <w:t>Pero comprar a cualquier precio no es invertir; es especular.</w:t>
      </w:r>
    </w:p>
    <w:p/>
    <w:p>
      <w:r>
        <w:t>Con un precio actual de $399.75 y un valor intrínseco DCF que en el escenario más generoso alcanza los $107.69, el inversor value asume hoy una pérdida potencial de más del 70% si los múltiplos se normalizan, incluso si el negocio continúa funcionando perfectamente.</w:t>
      </w:r>
    </w:p>
    <w:p/>
    <w:p>
      <w:r>
        <w:rPr>
          <w:b/>
        </w:rPr>
        <w:t>Recomendación clara:</w:t>
      </w:r>
    </w:p>
    <w:p/>
    <w:p>
      <w:r>
        <w:t xml:space="preserve">&gt; 🔴 </w:t>
      </w:r>
      <w:r>
        <w:rPr>
          <w:b/>
        </w:rPr>
        <w:t>No comprar a precios actuales.</w:t>
      </w:r>
    </w:p>
    <w:p>
      <w:r>
        <w:t xml:space="preserve">&gt; Zona de interés para iniciar posición: </w:t>
      </w:r>
      <w:r>
        <w:rPr>
          <w:b/>
        </w:rPr>
        <w:t>por debajo de $120-130</w:t>
      </w:r>
      <w:r>
        <w:t>, donde el margen de seguridad comenzaría a ser razonable (&gt;20% sobre el escenario base).</w:t>
      </w:r>
    </w:p>
    <w:p>
      <w:r>
        <w:t xml:space="preserve">&gt; Para inversores con menor aversión al riesgo y mayor convicción en la narrativa de IA: precio máximo de entrada razonable en torno a </w:t>
      </w:r>
      <w:r>
        <w:rPr>
          <w:b/>
        </w:rPr>
        <w:t>$160-170</w:t>
      </w:r>
      <w:r>
        <w:t>, asumiendo que el escenario optimista se materializará.</w:t>
      </w:r>
    </w:p>
    <w:p/>
    <w:p>
      <w:r>
        <w:t xml:space="preserve">Si ya se tiene posición con coste promedio bajo, </w:t>
      </w:r>
      <w:r>
        <w:rPr>
          <w:b/>
        </w:rPr>
        <w:t>mantener</w:t>
      </w:r>
      <w:r>
        <w:t xml:space="preserve"> con stops psicológicos por fundamentales, no por precio. Si se está considerando entrar hoy, la disciplina value exige </w:t>
      </w:r>
      <w:r>
        <w:rPr>
          <w:b/>
        </w:rPr>
        <w:t>paciencia</w:t>
      </w:r>
      <w:r>
        <w:t>. Las mejores oportunidades en grandes compañías llegan cuando el mercado se decepciona, no cuando celebra.</w:t>
      </w:r>
    </w:p>
    <w:p/>
    <w:p/>
    <w:p/>
    <w:p>
      <w:r>
        <w:rPr>
          <w:i/>
        </w:rPr>
        <w:t>Análisis generado el 02/03/2026. No es consejo de inversión. El análisis DCF refleja estimaciones bajo metodología value conservadora y no incorpora la totalidad de las expectativas de crecimiento que el mercado puede estar descontando.</w:t>
      </w:r>
    </w:p>
    <w:p/>
    <w:p>
      <w:pPr>
        <w:jc w:val="center"/>
      </w:pPr>
      <w:r>
        <w:rPr>
          <w:i/>
          <w:color w:val="808080"/>
          <w:sz w:val="18"/>
        </w:rPr>
        <w:t>Este documento es de uso personal y educativo. No constituye consejo de inversión. Invierte con criterio propio y conocimiento de los riesgos.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