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48"/>
        </w:rPr>
        <w:t>TESIS DE INVERSIÓN</w:t>
      </w:r>
    </w:p>
    <w:p>
      <w:pPr>
        <w:jc w:val="center"/>
      </w:pPr>
      <w:r>
        <w:rPr>
          <w:color w:val="2E74B5"/>
          <w:sz w:val="32"/>
        </w:rPr>
        <w:t>HPQ — HP Inc.</w:t>
      </w:r>
    </w:p>
    <w:p/>
    <w:p>
      <w:pPr>
        <w:jc w:val="center"/>
      </w:pPr>
      <w:r>
        <w:rPr>
          <w:sz w:val="24"/>
        </w:rPr>
        <w:t>07 de March de 2026</w:t>
      </w:r>
    </w:p>
    <w:p/>
    <w:p>
      <w:pPr>
        <w:jc w:val="center"/>
      </w:pPr>
      <w:r>
        <w:rPr>
          <w:i/>
          <w:color w:val="808080"/>
        </w:rPr>
        <w:t>Documento de análisis personal — No es consejo de inversión</w:t>
      </w:r>
    </w:p>
    <w:p>
      <w:r>
        <w:br w:type="page"/>
      </w:r>
    </w:p>
    <w:p>
      <w:pPr>
        <w:pStyle w:val="Heading2"/>
      </w:pPr>
      <w:r>
        <w:t>HPQ — HP Inc. | 🟢 INFRAVALORADA</w:t>
      </w:r>
    </w:p>
    <w:p/>
    <w:p/>
    <w:p/>
    <w:p>
      <w:pPr>
        <w:pStyle w:val="Heading3"/>
      </w:pPr>
      <w:r>
        <w:t>Resumen ejecutivo</w:t>
      </w:r>
    </w:p>
    <w:p/>
    <w:p>
      <w:r>
        <w:t xml:space="preserve">HP Inc. cotiza a </w:t>
      </w:r>
      <w:r>
        <w:rPr>
          <w:b/>
        </w:rPr>
        <w:t>$19.46</w:t>
      </w:r>
      <w:r>
        <w:t xml:space="preserve"> con un precio objetivo ponderado de </w:t>
      </w:r>
      <w:r>
        <w:rPr>
          <w:b/>
        </w:rPr>
        <w:t>$61.73</w:t>
      </w:r>
      <w:r>
        <w:t xml:space="preserve">, lo que implica un </w:t>
      </w:r>
      <w:r>
        <w:rPr>
          <w:b/>
        </w:rPr>
        <w:t>margen de seguridad del 68.5%</w:t>
      </w:r>
      <w:r>
        <w:t xml:space="preserve"> y un potencial de revalorización superior al 217%. Incluso en el escenario más pesimista del modelo ($34.2), la acción ofrece un upside cercano al 75% desde los precios actuales. </w:t>
      </w:r>
      <w:r>
        <w:rPr>
          <w:b/>
        </w:rPr>
        <w:t>Recomendación: acumular posición por debajo de $22, con horizonte de 24-36 meses</w:t>
      </w:r>
      <w:r>
        <w:t>, siendo conscientes de que el principal motor de valor no es el crecimiento del negocio sino la agresiva destrucción de float vía recompras.</w:t>
      </w:r>
    </w:p>
    <w:p/>
    <w:p/>
    <w:p/>
    <w:p>
      <w:pPr>
        <w:pStyle w:val="Heading3"/>
      </w:pPr>
      <w:r>
        <w:t>El negocio</w:t>
      </w:r>
    </w:p>
    <w:p/>
    <w:p>
      <w:r>
        <w:t xml:space="preserve">HP Inc. es el resultado de la escisión de Hewlett-Packard en 2015, y opera en dos segmentos principales: </w:t>
      </w:r>
      <w:r>
        <w:rPr>
          <w:b/>
        </w:rPr>
        <w:t>Personal Systems</w:t>
      </w:r>
      <w:r>
        <w:t xml:space="preserve"> (PCs, workstations, portátiles) y </w:t>
      </w:r>
      <w:r>
        <w:rPr>
          <w:b/>
        </w:rPr>
        <w:t>Print</w:t>
      </w:r>
      <w:r>
        <w:t xml:space="preserve"> (impresoras de uso doméstico, empresarial e industrial, junto con consumibles de tinta y tóner).</w:t>
      </w:r>
    </w:p>
    <w:p/>
    <w:p>
      <w:r>
        <w:t xml:space="preserve">La empresa vende sus productos en prácticamente todos los mercados globales, con presencia dominante en el segmento corporativo a través de contratos de aprovisionamiento de dispositivos y servicios de impresión gestionada. Este último punto es relevante: el negocio de impresoras funciona bajo un </w:t>
      </w:r>
      <w:r>
        <w:rPr>
          <w:b/>
        </w:rPr>
        <w:t>modelo de cuchilla y cuchillas</w:t>
      </w:r>
      <w:r>
        <w:t>, donde el hardware se vende a márgenes reducidos pero genera un flujo recurrente y predecible de ingresos por consumibles, que históricamente han sido más rentables y estables.</w:t>
      </w:r>
    </w:p>
    <w:p/>
    <w:p>
      <w:r>
        <w:t xml:space="preserve">El </w:t>
      </w:r>
      <w:r>
        <w:rPr>
          <w:b/>
        </w:rPr>
        <w:t>moat de HPQ es modesto pero real</w:t>
      </w:r>
      <w:r>
        <w:t>: la marca goza de reconocimiento global consolidado durante décadas, la red de distribución es de las más amplias del sector y los contratos empresariales crean cierta fidelización por switching costs. Sin embargo, el negocio de PCs carece de diferenciación sostenible frente a competidores asiáticos de bajo coste (Lenovo, Acer, ASUS) y frente a Apple en el segmento premium. No es un negocio con foso profundo, pero tampoco es un negocio que vaya a desaparecer en el corto plazo.</w:t>
      </w:r>
    </w:p>
    <w:p/>
    <w:p/>
    <w:p/>
    <w:p>
      <w:pPr>
        <w:pStyle w:val="Heading3"/>
      </w:pPr>
      <w:r>
        <w:t>Análisis financiero</w:t>
      </w:r>
    </w:p>
    <w:p/>
    <w:p>
      <w:r>
        <w:t xml:space="preserve">La foto financiera de HP Inc. es la de una empresa </w:t>
      </w:r>
      <w:r>
        <w:rPr>
          <w:b/>
        </w:rPr>
        <w:t>en declive secular gestionando eficientemente ese declive</w:t>
      </w:r>
      <w:r>
        <w:t>:</w:t>
      </w:r>
    </w:p>
    <w:p/>
    <w:p>
      <w:pPr>
        <w:pStyle w:val="ListBullet"/>
      </w:pPr>
      <w:r>
        <w:t>**Revenue:** CAGR negativo del -4.2% en los últimos cinco años, reflejando la contracción del mercado de PCs post-pandemia y la erosión gradual del mercado de impresoras. No hay catalizadores obvios de crecimiento orgánico.</w:t>
      </w:r>
    </w:p>
    <w:p>
      <w:pPr>
        <w:pStyle w:val="ListBullet"/>
      </w:pPr>
      <w:r>
        <w:t>**Márgenes:** El margen bruto se sitúa en torno al **21%**, un nivel muy estrecho para una empresa tecnológica. El margen operativo ronda el **6%**. Esta compresión estructural deja muy poco colchón ante shocks de costes (componentes, logística, divisas).</w:t>
      </w:r>
    </w:p>
    <w:p>
      <w:pPr>
        <w:pStyle w:val="ListBullet"/>
      </w:pPr>
      <w:r>
        <w:t>**FCF:** El free cash flow también muestra un CAGR negativo del -8.9% a cinco años. A pesar de ello, la generación de caja es consistente y el **FCF yield a precios actuales es del 15.7%**, un nivel extraordinariamente atractivo en términos absolutos.</w:t>
      </w:r>
    </w:p>
    <w:p>
      <w:pPr>
        <w:pStyle w:val="ListBullet"/>
      </w:pPr>
      <w:r>
        <w:t>**Recompras de acciones:** Este es el dato que cambia la tesis. HP ha reducido el número de acciones en circulación de aproximadamente **921 millones a 676 millones en cinco años**, equivalente a una reducción anual del 6% del float. En un negocio donde el beneficio total apenas crece, el beneficio **por acción** crece de forma significativa. Este mecanismo actúa como una palanca silenciosa de creación de valor.</w:t>
      </w:r>
    </w:p>
    <w:p>
      <w:pPr>
        <w:pStyle w:val="ListBullet"/>
      </w:pPr>
      <w:r>
        <w:t>**Deuda:** El balance es el talón de Aquiles. El ratio Deuda/Equity es extremadamente elevado (técnicamente negativo en equity contable, lo que proyecta ratios implícitos de 999x), herencia tanto de la estructura de capital agresiva como de los propios buybacks que reducen el patrimonio neto. Esto limita la flexibilidad financiera y hace al modelo sensible a cualquier deterioro del FCF.</w:t>
      </w:r>
    </w:p>
    <w:p/>
    <w:p/>
    <w:p/>
    <w:p>
      <w:pPr>
        <w:pStyle w:val="Heading3"/>
      </w:pPr>
      <w:r>
        <w:t>Valoración DCF</w:t>
      </w:r>
    </w:p>
    <w:p/>
    <w:p>
      <w:r>
        <w:rPr>
          <w:b/>
        </w:rPr>
        <w:t>Metodología:</w:t>
      </w:r>
      <w:r>
        <w:t xml:space="preserve"> El modelo proyecta los ingresos futuros aplicando tasas de crecimiento diferenciadas por escenario, y sobre ellos aplica los márgenes históricos promedio observados (margen bruto ~21%, SGA, D&amp;A, tipo impositivo efectivo) para llegar al </w:t>
      </w:r>
      <w:r>
        <w:rPr>
          <w:b/>
        </w:rPr>
        <w:t>Unlevered Free Cash Flow (UFCF)</w:t>
      </w:r>
      <w:r>
        <w:t>.</w:t>
      </w:r>
    </w:p>
    <w:p/>
    <w:p>
      <w:r>
        <w:t xml:space="preserve">Un punto metodológico relevante: el CapEx utilizado en el modelo es únicamente el </w:t>
      </w:r>
      <w:r>
        <w:rPr>
          <w:b/>
        </w:rPr>
        <w:t>CapEx de mantenimiento</w:t>
      </w:r>
      <w:r>
        <w:t xml:space="preserve">, aproximado por la depreciación y amortización. El CapEx de crecimiento (expansión de capacidad, infraestructura, I+D capitalizado) </w:t>
      </w:r>
      <w:r>
        <w:rPr>
          <w:i/>
        </w:rPr>
        <w:t>no</w:t>
      </w:r>
      <w:r>
        <w:t xml:space="preserve"> se resta, porque se considera que ya está implícito en la tasa de crecimiento proyectada de los ingresos. En el caso de HPQ, dado que la empresa no está en fase de expansión intensiva de capital y la diferencia entre CapEx total real y mantenimiento no es material, este ajuste tiene un impacto limitado en el resultado final.</w:t>
      </w:r>
    </w:p>
    <w:p/>
    <w:p>
      <w:r>
        <w:t xml:space="preserve">El </w:t>
      </w:r>
      <w:r>
        <w:rPr>
          <w:b/>
        </w:rPr>
        <w:t>Valor Terminal</w:t>
      </w:r>
      <w:r>
        <w:t xml:space="preserve"> se calcula mediante un múltiplo de salida sectorial (exit multiple), no por el modelo de Gordon Growth, lo que evita la sensibilidad extrema a tasas de crecimiento perpetuas en un negocio en declive. El </w:t>
      </w:r>
      <w:r>
        <w:rPr>
          <w:b/>
        </w:rPr>
        <w:t>WACC</w:t>
      </w:r>
      <w:r>
        <w:t xml:space="preserve"> se obtiene vía CAPM real (beta de mercado × prima de riesgo de equity + tasa libre de riesgo).</w:t>
      </w:r>
    </w:p>
    <w:p/>
    <w:p>
      <w:r>
        <w:rPr>
          <w:b/>
        </w:rPr>
        <w:t>Escenarios:</w:t>
      </w:r>
    </w:p>
    <w:p/>
    <w:p>
      <w:r>
        <w:t>| Escenario | Precio Intrínseco | Supuesto clave |</w:t>
      </w:r>
    </w:p>
    <w:p>
      <w:r>
        <w:t>|---|---|---|</w:t>
      </w:r>
    </w:p>
    <w:p>
      <w:r>
        <w:t xml:space="preserve">| 🐻 </w:t>
      </w:r>
      <w:r>
        <w:rPr>
          <w:b/>
        </w:rPr>
        <w:t>Bear</w:t>
      </w:r>
      <w:r>
        <w:t xml:space="preserve"> | $34.2 | Márgenes por debajo de históricos, WACC +2pp, contracción continuada |</w:t>
      </w:r>
    </w:p>
    <w:p>
      <w:r>
        <w:t xml:space="preserve">| ⚖️ </w:t>
      </w:r>
      <w:r>
        <w:rPr>
          <w:b/>
        </w:rPr>
        <w:t>Base</w:t>
      </w:r>
      <w:r>
        <w:t xml:space="preserve"> | $60.0 | Márgenes históricos promedio, recuperación cíclica moderada (+6.9% revenue) |</w:t>
      </w:r>
    </w:p>
    <w:p>
      <w:r>
        <w:t xml:space="preserve">| 🐂 </w:t>
      </w:r>
      <w:r>
        <w:rPr>
          <w:b/>
        </w:rPr>
        <w:t>Bull</w:t>
      </w:r>
      <w:r>
        <w:t xml:space="preserve"> | $91.5 | Márgenes ligeramente superiores, WACC -1pp, recuperación del ciclo PC |</w:t>
      </w:r>
    </w:p>
    <w:p>
      <w:r>
        <w:t xml:space="preserve">| </w:t>
      </w:r>
      <w:r>
        <w:rPr>
          <w:b/>
        </w:rPr>
        <w:t>🎯 Ponderado</w:t>
      </w:r>
      <w:r>
        <w:t xml:space="preserve"> | </w:t>
      </w:r>
      <w:r>
        <w:rPr>
          <w:b/>
        </w:rPr>
        <w:t>$61.73</w:t>
      </w:r>
      <w:r>
        <w:t xml:space="preserve"> | Promedio ponderado de escenarios |</w:t>
      </w:r>
    </w:p>
    <w:p/>
    <w:p>
      <w:r>
        <w:t xml:space="preserve">El </w:t>
      </w:r>
      <w:r>
        <w:rPr>
          <w:b/>
        </w:rPr>
        <w:t>supuesto más cuestionable</w:t>
      </w:r>
      <w:r>
        <w:t xml:space="preserve"> del modelo base es la tasa de crecimiento de revenue del </w:t>
      </w:r>
      <w:r>
        <w:rPr>
          <w:b/>
        </w:rPr>
        <w:t>+6.9%</w:t>
      </w:r>
      <w:r>
        <w:t>, que contrasta frontalmente con el CAGR histórico negativo de -4.2%. Esta reversión al crecimiento positivo requeriría una recuperación del ciclo de reposición de PCs empresariales (que históricamente se produce cada 4-5 años) y cierta estabilización del mercado de impresoras. No está garantizado, pero tampoco es descabellado dado el contexto post-pandemia de ciclos deprimidos.</w:t>
      </w:r>
    </w:p>
    <w:p/>
    <w:p>
      <w:r>
        <w:t xml:space="preserve">Lo que hace especialmente interesante la tesis es que </w:t>
      </w:r>
      <w:r>
        <w:rPr>
          <w:b/>
        </w:rPr>
        <w:t>incluso en el escenario bear</w:t>
      </w:r>
      <w:r>
        <w:t xml:space="preserve"> ($34.2), donde el negocio sigue deteriorándose y el WACC se eleva, la acción sigue valiendo un 75% más de lo que cotiza hoy. Eso es un colchón de seguridad poco habitual.</w:t>
      </w:r>
    </w:p>
    <w:p/>
    <w:p/>
    <w:p/>
    <w:p>
      <w:pPr>
        <w:pStyle w:val="Heading3"/>
      </w:pPr>
      <w:r>
        <w:t>Riesgos principales</w:t>
      </w:r>
    </w:p>
    <w:p/>
    <w:p>
      <w:pPr>
        <w:pStyle w:val="ListNumber"/>
      </w:pPr>
      <w:r>
        <w:t>**Presión competitiva de Apple en el segmento premium:** Con el MacBook Air a $599 ganando tracción en entornos corporativos y educativos, HP podría perder cuota en el segmento de mayor margen, acelerando la compresión de márgenes ya de por sí ajustados.</w:t>
      </w:r>
    </w:p>
    <w:p/>
    <w:p>
      <w:pPr>
        <w:pStyle w:val="ListNumber"/>
      </w:pPr>
      <w:r>
        <w:t>**El supuesto de crecimiento del modelo base puede no materializarse:** Si el revenue sigue contrayéndose al ritmo histórico (-4.2%) en lugar de recuperarse al +6.9% proyectado, el escenario "base" se convierte en el "bear" y el precio objetivo se desplaza significativamente a la baja. El inversor debe ser consciente de que está apostando, en parte, por una normalización cíclica.</w:t>
      </w:r>
    </w:p>
    <w:p/>
    <w:p>
      <w:pPr>
        <w:pStyle w:val="ListNumber"/>
      </w:pPr>
      <w:r>
        <w:t>**Apalancamiento y riesgo de sostenibilidad de los buybacks:** El principal motor de valor por acción (la recompra del 6% anual del float) depende de que el FCF se mantenga robusto. Si el deterioro del negocio se acelera, la empresa podría verse obligada a reducir o suspender el programa de recompras, eliminando el catalizador central de la tesis.</w:t>
      </w:r>
    </w:p>
    <w:p/>
    <w:p>
      <w:pPr>
        <w:pStyle w:val="ListNumber"/>
      </w:pPr>
      <w:r>
        <w:t>**Tipos de interés y coste de refinanciación:** Con un balance altamente apalancado, cualquier deterioro en las condiciones de financiación o rebaja en la calificación crediticia podría incrementar significativamente el coste de la deuda y drenar FCF disponible para accionistas.</w:t>
      </w:r>
    </w:p>
    <w:p/>
    <w:p/>
    <w:p/>
    <w:p>
      <w:pPr>
        <w:pStyle w:val="Heading3"/>
      </w:pPr>
      <w:r>
        <w:t>Catalizadores</w:t>
      </w:r>
    </w:p>
    <w:p/>
    <w:p>
      <w:r>
        <w:rPr>
          <w:b/>
        </w:rPr>
        <w:t>Al alza (próximos 12-24 meses):</w:t>
      </w:r>
    </w:p>
    <w:p>
      <w:pPr>
        <w:pStyle w:val="ListBullet"/>
      </w:pPr>
      <w:r>
        <w:t>Recuperación del ciclo de reposición de PCs corporativos, impulsada por el fin del soporte de Windows 10 (octubre 2025) y la migración obligada a Windows 11, que podría generar una ola de renovación de equipos.</w:t>
      </w:r>
    </w:p>
    <w:p>
      <w:pPr>
        <w:pStyle w:val="ListBullet"/>
      </w:pPr>
      <w:r>
        <w:t>Anuncio de expansión o aceleración del programa de recompras, que incrementaría la visibilidad del retorno al accionista.</w:t>
      </w:r>
    </w:p>
    <w:p>
      <w:pPr>
        <w:pStyle w:val="ListBullet"/>
      </w:pPr>
      <w:r>
        <w:t>Resultados trimestrales que demuestren estabilización o mejora de márgenes en el segmento Print.</w:t>
      </w:r>
    </w:p>
    <w:p>
      <w:pPr>
        <w:pStyle w:val="ListBullet"/>
      </w:pPr>
      <w:r>
        <w:t>Potencial re-rating del múltiplo si el mercado comienza a valorar el FCF yield del 15.7% como anómalo en un entorno de tipos a la baja.</w:t>
      </w:r>
    </w:p>
    <w:p/>
    <w:p>
      <w:r>
        <w:rPr>
          <w:b/>
        </w:rPr>
        <w:t>A la baja:</w:t>
      </w:r>
    </w:p>
    <w:p>
      <w:pPr>
        <w:pStyle w:val="ListBullet"/>
      </w:pPr>
      <w:r>
        <w:t>Deterioro más rápido de lo esperado en el segmento de impresoras, especialmente si la adopción del teletrabajo permanente sigue reduciendo la demanda de consumibles.</w:t>
      </w:r>
    </w:p>
    <w:p>
      <w:pPr>
        <w:pStyle w:val="ListBullet"/>
      </w:pPr>
      <w:r>
        <w:t>Recesión económica global que retrase las decisiones de compra corporativas de hardware.</w:t>
      </w:r>
    </w:p>
    <w:p>
      <w:pPr>
        <w:pStyle w:val="ListBullet"/>
      </w:pPr>
      <w:r>
        <w:t>Reducción inesperada del dividendo o del programa de buybacks para gestionar la deuda.</w:t>
      </w:r>
    </w:p>
    <w:p/>
    <w:p/>
    <w:p/>
    <w:p>
      <w:pPr>
        <w:pStyle w:val="Heading3"/>
      </w:pPr>
      <w:r>
        <w:t>Conclusión y plan de acción</w:t>
      </w:r>
    </w:p>
    <w:p/>
    <w:p>
      <w:r>
        <w:t xml:space="preserve">HP Inc. es una </w:t>
      </w:r>
      <w:r>
        <w:rPr>
          <w:b/>
        </w:rPr>
        <w:t>empresa en declive secular que cotiza como si ya estuviera en quiebra</w:t>
      </w:r>
      <w:r>
        <w:t>, cuando en realidad genera caja de forma consistente y la devuelve agresivamente al accionista mediante recompras. El P/E de 7.1x y el FCF yield del 15.7% son niveles que históricamente han representado puntos de entrada atractivos incluso en negocios maduros sin crecimiento.</w:t>
      </w:r>
    </w:p>
    <w:p/>
    <w:p>
      <w:r>
        <w:t>La tesis no requiere que HP vuelva a crecer con fuerza: requiere que el negocio no colapse, que el FCF se mantenga en rangos razonables y que los buybacks continúen erosionando el float. Si esas tres condiciones se cumplen, el precio debería converger hacia los $34-60 en un horizonte de 2-3 años simplemente por reversión a la media de múltiplos.</w:t>
      </w:r>
    </w:p>
    <w:p/>
    <w:p>
      <w:r>
        <w:rPr>
          <w:b/>
        </w:rPr>
        <w:t>Plan de acción concreto:</w:t>
      </w:r>
    </w:p>
    <w:p>
      <w:pPr>
        <w:pStyle w:val="ListBullet"/>
      </w:pPr>
      <w:r>
        <w:t>✅ **Comprar** entre **$18 y $22**, construyendo posición gradualmente.</w:t>
      </w:r>
    </w:p>
    <w:p>
      <w:pPr>
        <w:pStyle w:val="ListBullet"/>
      </w:pPr>
      <w:r>
        <w:t>🔄 **Revisar tesis** si el FCF trimestral cae más de un 20% interanual o si se anuncia reducción del programa de recompras.</w:t>
      </w:r>
    </w:p>
    <w:p>
      <w:pPr>
        <w:pStyle w:val="ListBullet"/>
      </w:pPr>
      <w:r>
        <w:t>🎯 **Precio objetivo de salida parcial**: $45-50 (primer tramo), $60+ (segundo tramo).</w:t>
      </w:r>
    </w:p>
    <w:p>
      <w:pPr>
        <w:pStyle w:val="ListBullet"/>
      </w:pPr>
      <w:r>
        <w:t>❌ **Stop de tesis** (no de precio): deterioro estructural del negocio de consumibles de impresión o eliminación de los buybacks.</w:t>
      </w:r>
    </w:p>
    <w:p/>
    <w:p>
      <w:r>
        <w:t xml:space="preserve">La posición no debería representar más del </w:t>
      </w:r>
      <w:r>
        <w:rPr>
          <w:b/>
        </w:rPr>
        <w:t>4-6% de una cartera diversificada</w:t>
      </w:r>
      <w:r>
        <w:t xml:space="preserve"> dado el riesgo de apalancamiento y la incertidumbre sobre la reversión del ciclo.</w:t>
      </w:r>
    </w:p>
    <w:p/>
    <w:p/>
    <w:p/>
    <w:p>
      <w:r>
        <w:rPr>
          <w:i/>
        </w:rPr>
        <w:t>Análisis generado el 07/03/2026. No es consejo de inversión. El inversor debe realizar su propia due diligence antes de tomar cualquier decisión.</w:t>
      </w:r>
    </w:p>
    <w:p/>
    <w:p>
      <w:pPr>
        <w:jc w:val="center"/>
      </w:pPr>
      <w:r>
        <w:rPr>
          <w:i/>
          <w:color w:val="808080"/>
          <w:sz w:val="18"/>
        </w:rPr>
        <w:t>Este documento es de uso personal y educativo. No constituye consejo de inversión. Invierte con criterio propio y conocimiento de los riesgos.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