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1ZG.F - Zegona Communications plc</w:t>
      </w:r>
    </w:p>
    <w:p/>
    <w:p>
      <w:pPr>
        <w:jc w:val="center"/>
      </w:pPr>
      <w:r>
        <w:rPr>
          <w:sz w:val="24"/>
        </w:rPr>
        <w:t>18 de March de 2026</w:t>
      </w:r>
    </w:p>
    <w:p>
      <w:r>
        <w:br w:type="page"/>
      </w:r>
    </w:p>
    <w:p>
      <w:pPr>
        <w:pStyle w:val="Heading2"/>
      </w:pPr>
      <w:r>
        <w:t>1ZG.F — Zegona Communications plc | ⚠️ ESPECULATIVA / ALTO RIESGO</w:t>
      </w:r>
    </w:p>
    <w:p/>
    <w:p/>
    <w:p/>
    <w:p>
      <w:pPr>
        <w:pStyle w:val="Heading3"/>
      </w:pPr>
      <w:r>
        <w:t>Resumen ejecutivo</w:t>
      </w:r>
    </w:p>
    <w:p/>
    <w:p>
      <w:r>
        <w:t>**Precio actual:** $20,40 | **Capitalización de mercado:** ~$4.787M | **Cobertura de analistas:** Sin consenso disponible</w:t>
      </w:r>
    </w:p>
    <w:p/>
    <w:p>
      <w:r>
        <w:t>Zegona es una historia de transformación profunda en el sector de telecomunicaciones español, con datos financieros históricos aún no consolidados públicamente tras la adquisición de Vodafone España en 2024. Los modelos DCF sugieren que el precio actual podría incorporar un descuento significativo respecto al valor intrínseco en escenarios base y optimistas, pero la **escasez de datos auditados y la enorme beta (3,83) hacen de esta una apuesta de perfil claramente especulativo**. Solo apta para inversores con alta tolerancia al riesgo y horizonte largo.</w:t>
      </w:r>
    </w:p>
    <w:p/>
    <w:p/>
    <w:p/>
    <w:p>
      <w:pPr>
        <w:pStyle w:val="Heading3"/>
      </w:pPr>
      <w:r>
        <w:t>El negocio</w:t>
      </w:r>
    </w:p>
    <w:p/>
    <w:p>
      <w:r>
        <w:t>Zegona Communications plc es una compañía de inversión en telecomunicaciones europeas, fundada en 2015 y domiciliada en Londres. Su modelo de negocio es el del **"buy-fix-sell"**: adquirir operadores de telecomunicaciones infravalorados o con problemas operativos, mejorar su eficiencia y desbloquear valor para el accionista.</w:t>
      </w:r>
    </w:p>
    <w:p/>
    <w:p>
      <w:r>
        <w:t>Su activo principal y prácticamente único activo operativo actual es **Vodafone España**, adquisición completada en 2024 por aproximadamente 5.000 millones de euros. Vodafone España es el cuarto operador de telecomunicaciones del mercado español y ofrece:</w:t>
      </w:r>
    </w:p>
    <w:p/>
    <w:p>
      <w:pPr>
        <w:pStyle w:val="ListBullet"/>
      </w:pPr>
      <w:r>
        <w:t>**Servicios de banda ancha** (fija y fibra óptica)</w:t>
      </w:r>
    </w:p>
    <w:p>
      <w:pPr>
        <w:pStyle w:val="ListBullet"/>
      </w:pPr>
      <w:r>
        <w:t>**Telefonía móvil**</w:t>
      </w:r>
    </w:p>
    <w:p>
      <w:pPr>
        <w:pStyle w:val="ListBullet"/>
      </w:pPr>
      <w:r>
        <w:t>**Televisión de pago**</w:t>
      </w:r>
    </w:p>
    <w:p>
      <w:pPr>
        <w:pStyle w:val="ListBullet"/>
      </w:pPr>
      <w:r>
        <w:t>**Voz y datos** para empresas (segmento B2B)</w:t>
      </w:r>
    </w:p>
    <w:p/>
    <w:p>
      <w:r>
        <w:t>**Ventaja competitiva (Moat):**</w:t>
      </w:r>
    </w:p>
    <w:p>
      <w:r>
        <w:t>El moat de Zegona no es tecnológico sino *estructural y de gestión*. España es uno de los mercados de telecomunicaciones más consolidados y competitivos de Europa, dominado por Telefónica, MásMóvil/Orange y Vodafone España. La tesis de inversión descansa en tres pilares:</w:t>
      </w:r>
    </w:p>
    <w:p/>
    <w:p>
      <w:r>
        <w:t>1. **Arbitraje de gestión:** El equipo directivo (veteranos con historial probado en Telecomunicaciones, incluyendo la rentable venta de Telecable) compró Vodafone España a un múltiplo bajo, comprometiéndose a mejorar márgenes operativos deteriorados.</w:t>
      </w:r>
    </w:p>
    <w:p>
      <w:r>
        <w:t>2. **Infraestructura de red establecida:** Red de fibra y cobertura móvil ya desplegadas, reduciendo el CapEx de construcción.</w:t>
      </w:r>
    </w:p>
    <w:p>
      <w:r>
        <w:t>3. **Potencial de consolidación sectorial:** El mercado español tiene presión regulatoria y económica para nuevas fusiones, lo que sitúa a Vodafone España como posible candidato a ser vendido o fusionado (FiberPass, la filial de fibra, ya ha atraído el interés de AXA Investment, según noticias recientes).</w:t>
      </w:r>
    </w:p>
    <w:p/>
    <w:p/>
    <w:p/>
    <w:p>
      <w:pPr>
        <w:pStyle w:val="Heading3"/>
      </w:pPr>
      <w:r>
        <w:t>Análisis financiero</w:t>
      </w:r>
    </w:p>
    <w:p/>
    <w:p>
      <w:r>
        <w:t>&gt; ⚠️ **Advertencia importante:** Los datos financieros históricos estructurados disponibles son prácticamente nulos en las fuentes públicas habituales, lo que refleja que Zegona es una compañía relativamente nueva como operadora directa (la adquisición de Vodafone España cerró en 2024). Las cifras que siguen provienen de estimaciones del modelo y referencias del sector.</w:t>
      </w:r>
    </w:p>
    <w:p/>
    <w:p>
      <w:r>
        <w:t>**Contexto operativo de Vodafone España (datos públicos aproximados pre-adquisición):**</w:t>
      </w:r>
    </w:p>
    <w:p>
      <w:pPr>
        <w:pStyle w:val="ListBullet"/>
      </w:pPr>
      <w:r>
        <w:t>Ingresos anuales: ~1.400-1.600 millones de euros</w:t>
      </w:r>
    </w:p>
    <w:p>
      <w:pPr>
        <w:pStyle w:val="ListBullet"/>
      </w:pPr>
      <w:r>
        <w:t>EBITDA histórico bajo presión, con márgenes erosionados por competencia de precios</w:t>
      </w:r>
    </w:p>
    <w:p>
      <w:pPr>
        <w:pStyle w:val="ListBullet"/>
      </w:pPr>
      <w:r>
        <w:t>Base de clientes: ~13 millones de accesos móviles + millones de clientes de fibra</w:t>
      </w:r>
    </w:p>
    <w:p>
      <w:pPr>
        <w:pStyle w:val="ListBullet"/>
      </w:pPr>
      <w:r>
        <w:t>Deuda significativa asumida en la transacción</w:t>
      </w:r>
    </w:p>
    <w:p/>
    <w:p>
      <w:r>
        <w:t>**Lo que sabemos:**</w:t>
      </w:r>
    </w:p>
    <w:p>
      <w:pPr>
        <w:pStyle w:val="ListBullet"/>
      </w:pPr>
      <w:r>
        <w:t>La **deuda total asumida es elevada**, habitual en LBOs de telecomunicaciones. El apalancamiento es uno de los principales riesgos de la inversión.</w:t>
      </w:r>
    </w:p>
    <w:p>
      <w:pPr>
        <w:pStyle w:val="ListBullet"/>
      </w:pPr>
      <w:r>
        <w:t>El CEO Eamonn O'Hare fue noticia por un **paquete retributivo de £131 millones** (julio 2025), lo que, aunque alineado con resultados a largo plazo, genera debate sobre la dilución del accionista minoritario.</w:t>
      </w:r>
    </w:p>
    <w:p>
      <w:pPr>
        <w:pStyle w:val="ListBullet"/>
      </w:pPr>
      <w:r>
        <w:t>Los analistas que han cubierto el valor (LON:ZEG) han estimado descuentos del 31%-45% respecto al valor intrínseco calculado con modelos DCF, señal de que el mercado no está descontando el escenario de reestructuración exitosa.</w:t>
      </w:r>
    </w:p>
    <w:p/>
    <w:p>
      <w:r>
        <w:t>**Márgenes proyectados (escenario base del modelo):**</w:t>
      </w:r>
    </w:p>
    <w:p>
      <w:pPr>
        <w:pStyle w:val="ListBullet"/>
      </w:pPr>
      <w:r>
        <w:t>Gross Margin objetivo: **40%** (razonable para un operador integrado español)</w:t>
      </w:r>
    </w:p>
    <w:p>
      <w:pPr>
        <w:pStyle w:val="ListBullet"/>
      </w:pPr>
      <w:r>
        <w:t>WACC: **14,6%** (elevado, refleja el riesgo real del apalancamiento y la beta)</w:t>
      </w:r>
    </w:p>
    <w:p/>
    <w:p/>
    <w:p/>
    <w:p>
      <w:pPr>
        <w:pStyle w:val="Heading3"/>
      </w:pPr>
      <w:r>
        <w:t>Valoración DCF</w:t>
      </w:r>
    </w:p>
    <w:p/>
    <w:p>
      <w:r>
        <w:t>#### Metodología</w:t>
      </w:r>
    </w:p>
    <w:p/>
    <w:p>
      <w:r>
        <w:t>El modelo DCF utilizado sigue el siguiente enfoque:</w:t>
      </w:r>
    </w:p>
    <w:p/>
    <w:p>
      <w:r>
        <w:t>1. **Proyección de ingresos:** Se proyectan los revenues futuros aplicando tasas de crecimiento escalonadas (más altas en los primeros años por el efecto de la reestructuración, decrecientes hacia la madurez del negocio).</w:t>
      </w:r>
    </w:p>
    <w:p>
      <w:r>
        <w:t>2. **Márgenes históricos promedio:** Se aplican márgenes promedio (bruto, SG&amp;A, I+D, D&amp;A, impositivo) sobre los ingresos proyectados para llegar al **UFCF (Unlevered Free Cash Flow)**.</w:t>
      </w:r>
    </w:p>
    <w:p>
      <w:r>
        <w:t>3. **CapEx de mantenimiento:** El modelo utiliza únicamente el CapEx de mantenimiento (≈ Depreciación), ya que el CapEx de crecimiento (expansión de red, fibra, modernización) está capturado implícitamente en el crecimiento de ingresos proyectado. **Este supuesto es crítico en telecomunicaciones**, donde el CapEx total real de un operador como Vodafone España puede ser sustancialmente superior al de mantenimiento puro (históricamente, los operadores de telecom invierten 15-20% de revenues en CapEx total). Los inversores deben tener presente que si el CapEx de expansión resulta mayor del previsto, los FCF reales serán inferiores a los modelados.</w:t>
      </w:r>
    </w:p>
    <w:p>
      <w:r>
        <w:t>4. **Valor Terminal:** Se calcula mediante **múltiplo de salida sectorial** (EV/EBITDA de sector Telecom), no mediante modelo de Gordon Growth, lo que es más conservador y realista para un sector maduro.</w:t>
      </w:r>
    </w:p>
    <w:p>
      <w:r>
        <w:t>5. **WACC:** Calculado vía CAPM real: Beta (3,83) × Prima de riesgo de mercado + Tasa libre de riesgo. La beta elevadísima refleja el alto apalancamiento y la naturaleza de la empresa como vehículo de inversión con concentración en un solo activo.</w:t>
      </w:r>
    </w:p>
    <w:p/>
    <w:p>
      <w:r>
        <w:t>#### Escenarios</w:t>
      </w:r>
    </w:p>
    <w:p/>
    <w:p>
      <w:r>
        <w:t>| Escenario | Crec. Revenue Y1 | Crec. Revenue Y5 | Gross Margin | WACC | Múltiplo Terminal |</w:t>
      </w:r>
    </w:p>
    <w:p>
      <w:r>
        <w:t>|-----------|-----------------|-----------------|--------------|------|-------------------|</w:t>
      </w:r>
    </w:p>
    <w:p>
      <w:r>
        <w:t>| **Conservador (Bear)** | +28% | +16,8% | 38% | 16,6% | 14x |</w:t>
      </w:r>
    </w:p>
    <w:p>
      <w:r>
        <w:t>| **Base** | +40% | +24,0% | 40% | 14,6% | 17x |</w:t>
      </w:r>
    </w:p>
    <w:p>
      <w:r>
        <w:t>| **Optimista (Bull)** | +52% | +31,2% | 42% | 13,6% | 19x |</w:t>
      </w:r>
    </w:p>
    <w:p/>
    <w:p>
      <w:r>
        <w:t>**Interpretación de los crecimientos:** Las tasas de crecimiento de revenue elevadas en los primeros años no reflejan crecimiento orgánico de la industria (el sector telecom crece al 1-3% anual), sino el efecto del **primer año de consolidación contable completa** de Vodafone España bajo Zegona más la mejora de ingresos por reestructuración y estrategia comercial. En años posteriores convergen hacia tasas más realistas.</w:t>
      </w:r>
    </w:p>
    <w:p/>
    <w:p>
      <w:r>
        <w:t>**Supuesto clave que el inversor debe vigilar:** La diferencia entre el CapEx de mantenimiento utilizado en el modelo y el CapEx real total de Vodafone España puede ser del orden de **200-400 millones de euros anuales**. Si la expansión de red requiere inversión adicional, el FCF real podría ser materialmente inferior al proyectado.</w:t>
      </w:r>
    </w:p>
    <w:p/>
    <w:p>
      <w:r>
        <w:t>**Conclusión de valoración:** En el escenario base, el modelo sugiere que el precio actual ($20,40) podría estar por debajo del valor intrínseco, coincidiendo con los análisis publicados que señalan descuentos del 31%-45%. Sin embargo, dado el nivel de incertidumbre sobre datos históricos reales y la complejidad de la deuda, **el margen de seguridad exigible debería ser superior al habitual** (mínimo 40-50% de descuento sobre el valor intrínseco calculado).</w:t>
      </w:r>
    </w:p>
    <w:p/>
    <w:p/>
    <w:p/>
    <w:p>
      <w:pPr>
        <w:pStyle w:val="Heading3"/>
      </w:pPr>
      <w:r>
        <w:t>Riesgos principales</w:t>
      </w:r>
    </w:p>
    <w:p/>
    <w:p>
      <w:r>
        <w:t>1. **Apalancamiento financiero excesivo:** La adquisición de Vodafone España se financió con deuda significativa. En un entorno de tipos de interés elevados, el coste de la deuda puede consumir el FCF y comprometer la capacidad de inversión y dividendos. Un deterioro del rating crediticio podría ser catastrófico.</w:t>
      </w:r>
    </w:p>
    <w:p/>
    <w:p>
      <w:r>
        <w:t>2. **Competencia destructiva de precios en España:** MásMóvil/Orange (fusión pendiente de consolidarse) y Telefónica tienen escala y recursos para mantener guerras de precios que erosionen los márgenes que Zegona necesita mejorar. El mercado español ha demostrado históricamente ser uno de los más agresivos en precios de Europa.</w:t>
      </w:r>
    </w:p>
    <w:p/>
    <w:p>
      <w:r>
        <w:t>3. **Riesgo de ejecución de la reestructuración:** La tesis completa descansa en la capacidad del equipo gestor de mejorar la operativa de Vodafone España. Qualquier retraso, pérdida de clientes clave o fracaso en la integración puede destruir valor de forma irreversible dado el alto apalancamiento.</w:t>
      </w:r>
    </w:p>
    <w:p/>
    <w:p>
      <w:r>
        <w:t>4. **Beta extrema y concentración de riesgo:** Con una beta de 3,83 y un único activo operativo, las caídas en mercados bajistas serán amplificadas. La retribución del CEO (£131M) también supone un riesgo reputacional y de gobernanza que puede impactar la cotización en momentos de debilidad del mercado.</w:t>
      </w:r>
    </w:p>
    <w:p/>
    <w:p/>
    <w:p/>
    <w:p>
      <w:pPr>
        <w:pStyle w:val="Heading3"/>
      </w:pPr>
      <w:r>
        <w:t>Catalizadores</w:t>
      </w:r>
    </w:p>
    <w:p/>
    <w:p>
      <w:r>
        <w:t>**Al alza (próximos 12-24 meses):**</w:t>
      </w:r>
    </w:p>
    <w:p/>
    <w:p>
      <w:pPr>
        <w:pStyle w:val="ListBullet"/>
      </w:pPr>
      <w:r>
        <w:t>**Venta o monetización de FiberPass:** Si AXA Investment u otro inversor institucional cierra la compra de una participación del 30% en la filial de fibra, generaría una entrada de caja importante que reduciría la deuda y confirmaría el valor del activo. Catalizador de alta probabilidad e impacto.</w:t>
      </w:r>
    </w:p>
    <w:p>
      <w:pPr>
        <w:pStyle w:val="ListBullet"/>
      </w:pPr>
      <w:r>
        <w:t>**Mejora visible de márgenes EBITDA:** Si los resultados del primer año completo bajo Zegona muestran una expansión del EBITDA margin de Vodafone España, el mercado revalorizaría el equity de forma significativa (el apalancamiento amplifica el impacto positivo sobre el equity).</w:t>
      </w:r>
    </w:p>
    <w:p>
      <w:pPr>
        <w:pStyle w:val="ListBullet"/>
      </w:pPr>
      <w:r>
        <w:t>**Consolidación sectorial:** Un movimiento corporativo (fusión parcial, joint venture de red, o venta final del activo) desencadenaría una prima de control importante.</w:t>
      </w:r>
    </w:p>
    <w:p>
      <w:pPr>
        <w:pStyle w:val="ListBullet"/>
      </w:pPr>
      <w:r>
        <w:t>**Cobertura de analistas:** La ausencia actual de cobertura de brokers (precio objetivo = 0) es anómala para una capitalización de casi $5.000M. Cualquier inicio de cobertura con precio objetivo podría actuar como catalizador técnico.</w:t>
      </w:r>
    </w:p>
    <w:p/>
    <w:p>
      <w:r>
        <w:t>**A la baja:**</w:t>
      </w:r>
    </w:p>
    <w:p>
      <w:pPr>
        <w:pStyle w:val="ListBullet"/>
      </w:pPr>
      <w:r>
        <w:t>Resultados financieros decepcionantes que evidencien que los márgenes no mejoran según lo previsto.</w:t>
      </w:r>
    </w:p>
    <w:p>
      <w:pPr>
        <w:pStyle w:val="ListBullet"/>
      </w:pPr>
      <w:r>
        <w:t>Subida adicional de tipos de interés que eleve el coste de servicio de la deuda.</w:t>
      </w:r>
    </w:p>
    <w:p>
      <w:pPr>
        <w:pStyle w:val="ListBullet"/>
      </w:pPr>
      <w:r>
        <w:t>Pérdida acelerada de cuota de mercado frente a competidores con mayor escala post-fusión.</w:t>
      </w:r>
    </w:p>
    <w:p/>
    <w:p/>
    <w:p/>
    <w:p>
      <w:pPr>
        <w:pStyle w:val="Heading3"/>
      </w:pPr>
      <w:r>
        <w:t>Conclusión y plan de acción</w:t>
      </w:r>
    </w:p>
    <w:p/>
    <w:p>
      <w:r>
        <w:t>Zegona Communications es una tesis de inversión **de alta convicción solo si el inversor acepta una volatilidad extrema y un horizonte de 3-5 años**. El modelo de gestión activa "buy-fix-sell" ha funcionado antes con el equipo directivo actual, y la adquisición de Vodafone España a múltiplos deprimidos tiene lógica estratégica. Los análisis disponibles apuntan sistemáticamente a un descuento sobre valor intrínseco.</w:t>
      </w:r>
    </w:p>
    <w:p/>
    <w:p>
      <w:r>
        <w:t>**Sin embargo, los datos financieros auditados y consolidados son insuficientes** para construir una tesis con la solidez habitual del value investing tradicional. La beta de 3,83, el apalancamiento elevado y la ausencia de track record operativo público hacen que esta inversión se parezca más a un **PE trade cotizado** que a un value stock clásico.</w:t>
      </w:r>
    </w:p>
    <w:p/>
    <w:p>
      <w:r>
        <w:t>**Recomendación:**</w:t>
      </w:r>
    </w:p>
    <w:p>
      <w:pPr>
        <w:pStyle w:val="ListBullet"/>
      </w:pPr>
      <w:r>
        <w:t>**No comprar** para inversores conservadores o con horizonte inferior a 3 años.</w:t>
      </w:r>
    </w:p>
    <w:p>
      <w:pPr>
        <w:pStyle w:val="ListBullet"/>
      </w:pPr>
      <w:r>
        <w:t>**Posición especulativa pequeña (&lt;2-3% de cartera)** para inversores agresivos que crean en el equipo directivo y quieran exposición a la reestructuración del sector telecom español.</w:t>
      </w:r>
    </w:p>
    <w:p>
      <w:pPr>
        <w:pStyle w:val="ListBullet"/>
      </w:pPr>
      <w:r>
        <w:t>**Precio de entrada sugerido:** Solo iniciar posición si se logra un descuento adicional del 20-25% sobre el precio actual (zona de $15-16), lo que ampliaría el margen de seguridad hasta niveles que justifiquen el riesgo asumido.</w:t>
      </w:r>
    </w:p>
    <w:p>
      <w:pPr>
        <w:pStyle w:val="ListBullet"/>
      </w:pPr>
      <w:r>
        <w:t>**Vigilar:** Los resultados del primer semestre completo de 2025-2026 como Vodafone España bajo gestión Zegona, y el cierre (o no) de la operación FiberPass-AXA como catalizador de liquidez clave.</w:t>
      </w:r>
    </w:p>
    <w:p/>
    <w:p/>
    <w:p/>
    <w:p>
      <w:r>
        <w:t>*Análisis generado el 18/03/2026. No es consejo de inversión. La ausencia de datos financieros históricos completos limita la fiabilidad del modelo DCF presentado. El inversor debe realizar su propia diligencia sobre los estados financieros auditados de Zegona Communications plc antes de tomar cualquier decisión de inversión.*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