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8"/>
        </w:rPr>
        <w:t>TESIS DE INVERSION</w:t>
      </w:r>
    </w:p>
    <w:p>
      <w:pPr>
        <w:jc w:val="center"/>
      </w:pPr>
      <w:r>
        <w:rPr>
          <w:color w:val="2E74B5"/>
          <w:sz w:val="32"/>
        </w:rPr>
        <w:t>31L.SG - Sylvania Platinum Limited</w:t>
      </w:r>
    </w:p>
    <w:p/>
    <w:p>
      <w:pPr>
        <w:jc w:val="center"/>
      </w:pPr>
      <w:r>
        <w:rPr>
          <w:sz w:val="24"/>
        </w:rPr>
        <w:t>17 de March de 2026</w:t>
      </w:r>
    </w:p>
    <w:p>
      <w:r>
        <w:br w:type="page"/>
      </w:r>
    </w:p>
    <w:p>
      <w:pPr>
        <w:pStyle w:val="Heading2"/>
      </w:pPr>
      <w:r>
        <w:t>31L.SG — Sylvania Platinum Limited | ⚠️ MANTENER / ESPECULATIVO</w:t>
      </w:r>
    </w:p>
    <w:p/>
    <w:p/>
    <w:p/>
    <w:p>
      <w:pPr>
        <w:pStyle w:val="Heading3"/>
      </w:pPr>
      <w:r>
        <w:t>Resumen ejecutivo</w:t>
      </w:r>
    </w:p>
    <w:p/>
    <w:p>
      <w:r>
        <w:t>Sylvania Platinum cotiza actualmente a **$1,07** con una capitalización de mercado de **~$319M**. El modelo DCF arroja un precio objetivo base de aproximadamente **$0,95–1,10**, con un escenario alcista que llevaría la acción hasta **~$1,35** y un escenario pesimista a **~$0,55–0,65**. El margen de seguridad es limitado a los precios actuales en el escenario base, aunque el balance excepcionalmente sólido (caja neta de ~$60M, deuda prácticamente nula) actúa como red de protección. **No es una oportunidad de compra clara hoy; es una empresa a vigilar de cerca ante una posible recuperación de precios de los metales del grupo del platino (PGMs).**</w:t>
      </w:r>
    </w:p>
    <w:p/>
    <w:p/>
    <w:p/>
    <w:p>
      <w:pPr>
        <w:pStyle w:val="Heading3"/>
      </w:pPr>
      <w:r>
        <w:t>El negocio</w:t>
      </w:r>
    </w:p>
    <w:p/>
    <w:p>
      <w:r>
        <w:t>Sylvania Platinum es una productora de metales del grupo del platino (PGMs) —platino, paladio, rodio y otros metales menores— con operaciones en **Sudáfrica**. Su modelo de negocio es singular y diferenciador: la empresa no opera minas convencionales, sino que **retreata los residuos de cromo** (tailings y dumps) de las principales minas de platino de Bushveld, extrayendo los PGMs que quedaron sin recuperar en los procesos originales. Esto se conoce como operaciones de "retreatment" o reciclaje de residuos mineros.</w:t>
      </w:r>
    </w:p>
    <w:p/>
    <w:p>
      <w:r>
        <w:t>**Ventajas competitivas (moat):**</w:t>
      </w:r>
    </w:p>
    <w:p>
      <w:pPr>
        <w:pStyle w:val="ListBullet"/>
      </w:pPr>
      <w:r>
        <w:t>**Coste de producción estructuralmente bajo**: al no necesitar minería subterránea convencional, los costes operativos son significativamente inferiores a los de productores primarios.</w:t>
      </w:r>
    </w:p>
    <w:p>
      <w:pPr>
        <w:pStyle w:val="ListBullet"/>
      </w:pPr>
      <w:r>
        <w:t>**Acuerdos de largo plazo** con grandes mineras para el tratamiento de sus residuos, creando barreras de entrada y cierta visibilidad de volúmenes.</w:t>
      </w:r>
    </w:p>
    <w:p>
      <w:pPr>
        <w:pStyle w:val="ListBullet"/>
      </w:pPr>
      <w:r>
        <w:t>**Balance blindado**: caja neta de ~$60M frente a una deuda total de apenas $471K —prácticamente cero—. Esto le da resiliencia en ciclos bajistas como el actual.</w:t>
      </w:r>
    </w:p>
    <w:p>
      <w:pPr>
        <w:pStyle w:val="ListBullet"/>
      </w:pPr>
      <w:r>
        <w:t>**Huella medioambiental favorable**: la limpieza de residuos mineros tiene mejor perfil ESG que la minería primaria.</w:t>
      </w:r>
    </w:p>
    <w:p/>
    <w:p>
      <w:r>
        <w:t>El talón de Aquiles del negocio es su **total dependencia del precio de los PGMs**, en particular del rodio y el paladio, que han sufrido una corrección brutal desde los máximos de 2021-2022.</w:t>
      </w:r>
    </w:p>
    <w:p/>
    <w:p/>
    <w:p/>
    <w:p>
      <w:pPr>
        <w:pStyle w:val="Heading3"/>
      </w:pPr>
      <w:r>
        <w:t>Análisis financiero</w:t>
      </w:r>
    </w:p>
    <w:p/>
    <w:p>
      <w:r>
        <w:t>La historia financiera de Sylvania Platinum es un relato de dos mitades muy distintas:</w:t>
      </w:r>
    </w:p>
    <w:p/>
    <w:p>
      <w:r>
        <w:t>**Boom (2022-2023):**</w:t>
      </w:r>
    </w:p>
    <w:p>
      <w:pPr>
        <w:pStyle w:val="ListBullet"/>
      </w:pPr>
      <w:r>
        <w:t>Revenue de **$151,9M** en 2022 y **$130,2M** en 2023, impulsado por precios récord del rodio (que llegó a cotizar por encima de $30.000/oz) y el paladio.</w:t>
      </w:r>
    </w:p>
    <w:p>
      <w:pPr>
        <w:pStyle w:val="ListBullet"/>
      </w:pPr>
      <w:r>
        <w:t>EBITDA de **$84,5M** (margen ~55%) y **$71,7M** (margen ~55%) respectivamente.</w:t>
      </w:r>
    </w:p>
    <w:p>
      <w:pPr>
        <w:pStyle w:val="ListBullet"/>
      </w:pPr>
      <w:r>
        <w:t>FCF generoso: **$53,2M** y **$48,5M**.</w:t>
      </w:r>
    </w:p>
    <w:p/>
    <w:p>
      <w:r>
        <w:t>**Contracción (2024-2025):**</w:t>
      </w:r>
    </w:p>
    <w:p>
      <w:pPr>
        <w:pStyle w:val="ListBullet"/>
      </w:pPr>
      <w:r>
        <w:t>El desplome de los precios de rodio y paladio golpeó de lleno. Revenue cayó a **$81,7M** en 2024 (−37% interanual), con EBITDA colapsando a **$20,0M** y FCF negativo de −$1,1M.</w:t>
      </w:r>
    </w:p>
    <w:p>
      <w:pPr>
        <w:pStyle w:val="ListBullet"/>
      </w:pPr>
      <w:r>
        <w:t>En 2025 hay una recuperación parcial: revenue sube a **$104,2M** (+27%), EBITDA a **$34,9M** y margen neto del 19,3%. Sin embargo, el FCF sigue siendo negativo (−$11,1M), lo que indica inversiones en curso o presiones de capital circulante.</w:t>
      </w:r>
    </w:p>
    <w:p/>
    <w:p>
      <w:r>
        <w:t>**Márgenes históricos promedio** (base del modelo DCF):</w:t>
      </w:r>
    </w:p>
    <w:p>
      <w:pPr>
        <w:pStyle w:val="ListBullet"/>
      </w:pPr>
      <w:r>
        <w:t>Margen bruto promedio: ~35,4% (aunque el dato más reciente del año fiscal 2025 muestra solo ~23,9%, lo que sugiere que los márgenes están aún deprimidos respecto a la media histórica).</w:t>
      </w:r>
    </w:p>
    <w:p>
      <w:pPr>
        <w:pStyle w:val="ListBullet"/>
      </w:pPr>
      <w:r>
        <w:t>Margen operativo: fuertemente correlacionado con precios de PGMs.</w:t>
      </w:r>
    </w:p>
    <w:p/>
    <w:p>
      <w:r>
        <w:t>**Balance:**</w:t>
      </w:r>
    </w:p>
    <w:p>
      <w:pPr>
        <w:pStyle w:val="ListBullet"/>
      </w:pPr>
      <w:r>
        <w:t>Caja: **$60,9M** | Deuda total: **$471K** → **Caja neta de ~$60,4M**.</w:t>
      </w:r>
    </w:p>
    <w:p>
      <w:pPr>
        <w:pStyle w:val="ListBullet"/>
      </w:pPr>
      <w:r>
        <w:t>Patrimonio neto: **$243,9M**.</w:t>
      </w:r>
    </w:p>
    <w:p>
      <w:pPr>
        <w:pStyle w:val="ListBullet"/>
      </w:pPr>
      <w:r>
        <w:t>La caja neta representa aproximadamente el **19% de la capitalización bursátil actual**, lo cual es un soporte fundamental importante.</w:t>
      </w:r>
    </w:p>
    <w:p/>
    <w:p>
      <w:r>
        <w:t>El principal riesgo financiero no es el balance (que es impecable), sino la **volatilidad extrema de los ingresos** ante movimientos de precios de commodities.</w:t>
      </w:r>
    </w:p>
    <w:p/>
    <w:p/>
    <w:p/>
    <w:p>
      <w:pPr>
        <w:pStyle w:val="Heading3"/>
      </w:pPr>
      <w:r>
        <w:t>Valoración DCF</w:t>
      </w:r>
    </w:p>
    <w:p/>
    <w:p>
      <w:r>
        <w:t>**Metodología aplicada:**</w:t>
      </w:r>
    </w:p>
    <w:p>
      <w:r>
        <w:t>El modelo proyecta los ingresos futuros partiendo del revenue actual ($104,2M) aplicando las tasas de crecimiento de cada escenario. A esos revenues se les aplican los **márgenes históricos promedio** (gross margin ~35,4%, gastos SG&amp;A y D&amp;A históricos, tasa impositiva efectiva) para estimar el UFCF (Unlevered Free Cash Flow).</w:t>
      </w:r>
    </w:p>
    <w:p/>
    <w:p>
      <w:r>
        <w:t>Sobre el CapEx: en un negocio de retreatment como Sylvania, el **CapEx de mantenimiento es aproximadamente igual a la depreciación**. El CapEx de crecimiento (nuevas instalaciones de retreatment, expansión de capacidad) no se resta en el modelo porque ya está implícito en el crecimiento de revenue proyectado. Dado que los años 2024-2025 muestran FCF negativo pese a beneficios positivos, es probable que haya CapEx de expansión en curso que supera a la depreciación; esto introduce un sesgo moderadamente optimista en el modelo DCF y debe tenerse en cuenta.</w:t>
      </w:r>
    </w:p>
    <w:p/>
    <w:p>
      <w:r>
        <w:t>El **Valor Terminal** se calcula mediante un múltiplo de salida sobre EBITDA del año terminal (metodología de exit multiple por sector minero/materiales), evitando el método Gordon Growth, que sería inadecuado para un negocio tan cíclico.</w:t>
      </w:r>
    </w:p>
    <w:p/>
    <w:p>
      <w:r>
        <w:t>El **WACC** se calcula vía CAPM: beta de 1,0 × prima de riesgo de mercado + tasa libre de riesgo, con ajuste por país (operaciones en Sudáfrica). El resultado base es 10%.</w:t>
      </w:r>
    </w:p>
    <w:p/>
    <w:p>
      <w:r>
        <w:t>| Escenario | Crec. Revenue Y1 | Margen Bruto | WACC | Múltiplo Terminal | **Precio Objetivo Est.** |</w:t>
      </w:r>
    </w:p>
    <w:p>
      <w:r>
        <w:t>|-----------|-----------------|--------------|------|-------------------|--------------------------|</w:t>
      </w:r>
    </w:p>
    <w:p>
      <w:r>
        <w:t>| **Bear** | −10,0% | 33,4% | 12% | 9x EBITDA | **~$0,55–0,65** |</w:t>
      </w:r>
    </w:p>
    <w:p>
      <w:r>
        <w:t>| **Base** | −7,0% | 35,4% | 10% | 12x EBITDA | **~$0,95–1,10** |</w:t>
      </w:r>
    </w:p>
    <w:p>
      <w:r>
        <w:t>| **Bull** | −4,0% | 37,4% | 9% | 14x EBITDA | **~$1,30–1,40** |</w:t>
      </w:r>
    </w:p>
    <w:p/>
    <w:p>
      <w:r>
        <w:t>*Nota: todos los escenarios parten de un crecimiento negativo en Y1, reflejando la persistencia de precios bajos de PGMs en el corto plazo, con una recuperación gradual hasta Y5 (0% en bull, −3% en base, −6% en bear).*</w:t>
      </w:r>
    </w:p>
    <w:p/>
    <w:p>
      <w:r>
        <w:t>**El precio actual de $1,07 se sitúa justo en el techo del escenario base**, lo que implica que el mercado ya está descontando una recuperación moderada. El margen de seguridad es prácticamente nulo en base, pero la **caja neta de $60M actúa como suelo**: si la restamos de la capitalización, la empresa opera en realidad a un EV de ~$258M, lo que mejora algo los ratios implícitos.</w:t>
      </w:r>
    </w:p>
    <w:p/>
    <w:p/>
    <w:p/>
    <w:p>
      <w:pPr>
        <w:pStyle w:val="Heading3"/>
      </w:pPr>
      <w:r>
        <w:t>Riesgos principales</w:t>
      </w:r>
    </w:p>
    <w:p/>
    <w:p>
      <w:r>
        <w:t>1. **Riesgo de precio de PGMs (crítico):** Los ingresos de Sylvania dependen casi en su totalidad del precio del rodio, paladio y platino. La transición al vehículo eléctrico (EV) amenaza la demanda de paladio y rodio a largo plazo (ambos se usan en catalizadores para motores de combustión). Una mayor penetración de EVs podría provocar un ajuste estructural permanente en los precios, no simplemente cíclico.</w:t>
      </w:r>
    </w:p>
    <w:p/>
    <w:p>
      <w:r>
        <w:t>2. **Riesgo geopolítico y regulatorio en Sudáfrica:** Las operaciones están 100% en Sudáfrica, un país con riesgo político relevante: posibles cambios en la regulación minera, cortes de suministro eléctrico (load-shedding de Eskom), y tensiones laborales. El rand sudafricano también introduce volatilidad cambiaria adicional.</w:t>
      </w:r>
    </w:p>
    <w:p/>
    <w:p>
      <w:r>
        <w:t>3. **Agotamiento de reservas de retreatment:** A diferencia de una mina convencional, los depósitos de residuos que trata Sylvania son finitos. Si no se renuevan los acuerdos con las mineras o no se identifican nuevas fuentes de tailings, el modelo de negocio tiene una vida útil limitada. Este riesgo no está completamente reflejado en los múltiplos.</w:t>
      </w:r>
    </w:p>
    <w:p/>
    <w:p>
      <w:r>
        <w:t>4. **FCF negativo reciente y posible dilución:** Los dos últimos ejercicios (2024 y 2025) muestran FCF negativo pese a beneficios contables positivos. Si el CapEx de expansión no genera retornos adecuados, o si los precios de PGMs no se recuperan, podría producirse deterioro del balance o necesidad de financiación.</w:t>
      </w:r>
    </w:p>
    <w:p/>
    <w:p/>
    <w:p/>
    <w:p>
      <w:pPr>
        <w:pStyle w:val="Heading3"/>
      </w:pPr>
      <w:r>
        <w:t>Catalizadores</w:t>
      </w:r>
    </w:p>
    <w:p/>
    <w:p>
      <w:r>
        <w:t>**Al alza:**</w:t>
      </w:r>
    </w:p>
    <w:p>
      <w:pPr>
        <w:pStyle w:val="ListBullet"/>
      </w:pPr>
      <w:r>
        <w:t>**Recuperación del precio del rodio y paladio**: cualquier señal de estabilización o repunte de los PGMs (por reducción de oferta sudafricana, recuperación de la demanda industrial) sería el catalizador más potente. Un retorno a niveles de 2023 dispararía los márgenes y el FCF.</w:t>
      </w:r>
    </w:p>
    <w:p>
      <w:pPr>
        <w:pStyle w:val="ListBullet"/>
      </w:pPr>
      <w:r>
        <w:t>**Nuevos acuerdos de retreatment**: la firma de contratos con nuevas mineras o la extensión de los existentes proporcionaría visibilidad sobre el crecimiento futuro.</w:t>
      </w:r>
    </w:p>
    <w:p>
      <w:pPr>
        <w:pStyle w:val="ListBullet"/>
      </w:pPr>
      <w:r>
        <w:t>**Recompra de acciones o dividendo especial**: con $60M de caja y deuda cero, la dirección podría optar por devolver capital, lo que catalizaría el precio.</w:t>
      </w:r>
    </w:p>
    <w:p>
      <w:pPr>
        <w:pStyle w:val="ListBullet"/>
      </w:pPr>
      <w:r>
        <w:t>**Potencial OPA**: el balance sólido y la baja capitalización hacen de Sylvania un objetivo atractivo para consolidadores del sector.</w:t>
      </w:r>
    </w:p>
    <w:p/>
    <w:p>
      <w:r>
        <w:t>**A la baja:**</w:t>
      </w:r>
    </w:p>
    <w:p>
      <w:pPr>
        <w:pStyle w:val="ListBullet"/>
      </w:pPr>
      <w:r>
        <w:t>Aceleración de la adopción de vehículos eléctricos que deprima estructuralmente la demanda de PGMs.</w:t>
      </w:r>
    </w:p>
    <w:p>
      <w:pPr>
        <w:pStyle w:val="ListBullet"/>
      </w:pPr>
      <w:r>
        <w:t>Nuevos problemas operativos en Sudáfrica (cortes de electricidad, huelgas, cambios regulatorios).</w:t>
      </w:r>
    </w:p>
    <w:p>
      <w:pPr>
        <w:pStyle w:val="ListBullet"/>
      </w:pPr>
      <w:r>
        <w:t>Desaceleración económica global que reduzca la demanda industrial de metales.</w:t>
      </w:r>
    </w:p>
    <w:p/>
    <w:p/>
    <w:p/>
    <w:p>
      <w:pPr>
        <w:pStyle w:val="Heading3"/>
      </w:pPr>
      <w:r>
        <w:t>Conclusión y plan de acción</w:t>
      </w:r>
    </w:p>
    <w:p/>
    <w:p>
      <w:r>
        <w:t>Sylvania Platinum es una empresa genuinamente bien gestionada, con un modelo de negocio diferenciado y un balance envidiable para el sector. Sin embargo, a los precios actuales (**$1,07**), el mercado ya recoge un escenario base razonable, dejando poco margen de seguridad para el inversor value disciplinado.</w:t>
      </w:r>
    </w:p>
    <w:p/>
    <w:p>
      <w:r>
        <w:t>**Recomendación: MANTENER si ya se tiene posición. No iniciar posición nueva a $1,07.**</w:t>
      </w:r>
    </w:p>
    <w:p/>
    <w:p>
      <w:r>
        <w:t>El punto de entrada atractivo estaría en el rango de **$0,70–0,80**, donde el descuento sobre el escenario base sería del 25–30% y la caja neta representaría ~20–25% del precio. A esos niveles, el riesgo/recompensa se vuelve asimétrico a favor del inversor.</w:t>
      </w:r>
    </w:p>
    <w:p/>
    <w:p>
      <w:r>
        <w:t>**Plan de acción concreto:**</w:t>
      </w:r>
    </w:p>
    <w:p>
      <w:pPr>
        <w:pStyle w:val="ListBullet"/>
      </w:pPr>
      <w:r>
        <w:t>Fijar **alerta de precio en $0,78** para revisión y posible compra.</w:t>
      </w:r>
    </w:p>
    <w:p>
      <w:pPr>
        <w:pStyle w:val="ListBullet"/>
      </w:pPr>
      <w:r>
        <w:t>Monitorizar trimestralmente los precios spot del rodio y paladio como indicador adelantado de los ingresos.</w:t>
      </w:r>
    </w:p>
    <w:p>
      <w:pPr>
        <w:pStyle w:val="ListBullet"/>
      </w:pPr>
      <w:r>
        <w:t>Revisar el informe anual para evaluar el estado de los acuerdos de retreatment y el uso del capital (¿se distribuye la caja o se reinvierte?).</w:t>
      </w:r>
    </w:p>
    <w:p>
      <w:pPr>
        <w:pStyle w:val="ListBullet"/>
      </w:pPr>
      <w:r>
        <w:t>Si los precios de PGMs muestran una tendencia alcista sostenida de 2+ trimestres, el escenario bull ($1,35) se vuelve plausible y justificaría una posición a los precios actuales.</w:t>
      </w:r>
    </w:p>
    <w:p/>
    <w:p/>
    <w:p/>
    <w:p>
      <w:r>
        <w:t>*Análisis generado el 17/03/2026. No es consejo de inversión. El análisis se basa en datos públicos disponibles y modelos cuantitativos con supuestos que pueden no materializarse. Invertir en empresas mineras de pequeña capitalización conlleva riesgos significativos de liquidez, operativos y de mercado.*</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