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48"/>
        </w:rPr>
        <w:t>TESIS DE INVERSION</w:t>
      </w:r>
    </w:p>
    <w:p>
      <w:pPr>
        <w:jc w:val="center"/>
      </w:pPr>
      <w:r>
        <w:rPr>
          <w:color w:val="2E74B5"/>
          <w:sz w:val="32"/>
        </w:rPr>
        <w:t>CSU.TO - Constellation Software Inc.</w:t>
      </w:r>
    </w:p>
    <w:p/>
    <w:p>
      <w:pPr>
        <w:jc w:val="center"/>
      </w:pPr>
      <w:r>
        <w:rPr>
          <w:sz w:val="24"/>
        </w:rPr>
        <w:t>19 de March de 2026</w:t>
      </w:r>
    </w:p>
    <w:p>
      <w:r>
        <w:br w:type="page"/>
      </w:r>
    </w:p>
    <w:p>
      <w:pPr>
        <w:pStyle w:val="Heading1"/>
      </w:pPr>
      <w:r>
        <w:t>CSU.TO — Constellation Software Inc. | 🟡 COMPRA CON CONVICCIÓN A ESTOS PRECIOS</w:t>
      </w:r>
    </w:p>
    <w:p/>
    <w:p/>
    <w:p/>
    <w:p>
      <w:pPr>
        <w:pStyle w:val="Heading2"/>
      </w:pPr>
      <w:r>
        <w:t>Resumen ejecutivo</w:t>
      </w:r>
    </w:p>
    <w:p/>
    <w:p>
      <w:r>
        <w:t>**Precio actual:** C$2.700 | **Precio objetivo (base):** C$4.194 (media analistas) | **Escenario base DCF:** ~C$3.800–4.200 estimado | **Margen de seguridad:** ~40–55%</w:t>
      </w:r>
    </w:p>
    <w:p/>
    <w:p>
      <w:r>
        <w:t>Constellation Software cotiza un 38% por debajo de sus máximos históricos, ofreciendo una ventana de entrada inusual en uno de los compounders más consistentes de Canadá. Con un FCF de C$2.129 millones en 2024, un modelo de negocio defensivo basado en software vertical de misión crítica, y un historial de asignación de capital sin parangón, la acción presenta una relación riesgo/recompensa muy favorable a los precios actuales.</w:t>
      </w:r>
    </w:p>
    <w:p/>
    <w:p/>
    <w:p/>
    <w:p>
      <w:pPr>
        <w:pStyle w:val="Heading2"/>
      </w:pPr>
      <w:r>
        <w:t>El negocio</w:t>
      </w:r>
    </w:p>
    <w:p/>
    <w:p>
      <w:r>
        <w:t>Constellation Software es, en esencia, una **máquina de adquisiciones de software vertical**. Fundada en 1995 y con sede en Toronto, su modelo consiste en identificar, adquirir y gestionar empresas de software especializado (VMS, *Vertical Market Software*) que sirven nichos muy específicos: gestiones municipales, software para clínicas dentales, administración de campings, sistemas para ópticas, concesionarios de maquinaria agrícola... El denominador común: software que los clientes **no pueden permitirse cambiar**.</w:t>
      </w:r>
    </w:p>
    <w:p/>
    <w:p>
      <w:r>
        <w:t>Este enfoque genera un moat extraordinariamente robusto por varias razones:</w:t>
      </w:r>
    </w:p>
    <w:p/>
    <w:p>
      <w:pPr>
        <w:pStyle w:val="ListBullet"/>
      </w:pPr>
      <w:r>
        <w:t>**Costes de cambio brutales:** los clientes llevan décadas con los mismos sistemas, los procesos están integrados, el personal está formado y la migración resultaría prohibitivamente cara.</w:t>
      </w:r>
    </w:p>
    <w:p>
      <w:pPr>
        <w:pStyle w:val="ListBullet"/>
      </w:pPr>
      <w:r>
        <w:t>**Nichos pequeños pero altamente rentables:** al operar en verticales con 50–500 clientes, Constellation evita la competencia directa con grandes players como Salesforce o SAP.</w:t>
      </w:r>
    </w:p>
    <w:p>
      <w:pPr>
        <w:pStyle w:val="ListBullet"/>
      </w:pPr>
      <w:r>
        <w:t>**Descentralización extrema como ventaja operativa:** cada negocio adquirido mantiene su gestión, cultura e incentivos propios, pero bajo una disciplina financiera común impuesta desde el holding.</w:t>
      </w:r>
    </w:p>
    <w:p>
      <w:pPr>
        <w:pStyle w:val="ListBullet"/>
      </w:pPr>
      <w:r>
        <w:t>**Reinversión compulsiva del FCF:** Mark Leonard, su fundador, ha construido una cultura donde el capital se reinvierte a tasas de retorno superiores al 20% de forma sistemática, rechazando los dividendos ordinarios en favor de la adquisición perpetua de nuevas empresas.</w:t>
      </w:r>
    </w:p>
    <w:p/>
    <w:p>
      <w:r>
        <w:t>Opera principalmente en Canadá, EE.UU., Reino Unido y Europa, con una exposición creciente a mercados internacionales a través de subsidiarias como **Topicus.com** (listada en TSX Venture) y **Lumine Group**.</w:t>
      </w:r>
    </w:p>
    <w:p/>
    <w:p/>
    <w:p/>
    <w:p>
      <w:pPr>
        <w:pStyle w:val="Heading2"/>
      </w:pPr>
      <w:r>
        <w:t>Análisis financiero</w:t>
      </w:r>
    </w:p>
    <w:p/>
    <w:p>
      <w:pPr>
        <w:pStyle w:val="Heading3"/>
      </w:pPr>
      <w:r>
        <w:t>Crecimiento de ingresos: constante y acelerado</w:t>
      </w:r>
    </w:p>
    <w:p/>
    <w:p>
      <w:r>
        <w:t>| Año | Revenue (C$M) | Crecimiento |</w:t>
      </w:r>
    </w:p>
    <w:p>
      <w:r>
        <w:t>|-----|--------------|-------------|</w:t>
      </w:r>
    </w:p>
    <w:p>
      <w:r>
        <w:t>| 2021 | 5.107 | — |</w:t>
      </w:r>
    </w:p>
    <w:p>
      <w:r>
        <w:t>| 2022 | 6.622 | +29,6% |</w:t>
      </w:r>
    </w:p>
    <w:p>
      <w:r>
        <w:t>| 2023 | 8.405 | +26,9% |</w:t>
      </w:r>
    </w:p>
    <w:p>
      <w:r>
        <w:t>| 2024 | 10.066 | +19,8% |</w:t>
      </w:r>
    </w:p>
    <w:p/>
    <w:p>
      <w:r>
        <w:t>En cuatro años, Constellation ha duplicado prácticamente sus ingresos, pasando de C$5.1B a C$10.1B. Este crecimiento es casi enteramente **inorgánico**: el motor son las adquisiciones continuas de empresas pequeñas a múltiplos bajos (3–8x EBITDA habitualmente), que al integrarse en el holding se revalorizan sustancialmente.</w:t>
      </w:r>
    </w:p>
    <w:p/>
    <w:p>
      <w:pPr>
        <w:pStyle w:val="Heading3"/>
      </w:pPr>
      <w:r>
        <w:t>Márgenes: sólidos y en recuperación</w:t>
      </w:r>
    </w:p>
    <w:p/>
    <w:p>
      <w:pPr>
        <w:pStyle w:val="ListBullet"/>
      </w:pPr>
      <w:r>
        <w:t>**Margen bruto:** ~35,9% (consistente, típico de software vertical con alta base de mantenimiento)</w:t>
      </w:r>
    </w:p>
    <w:p>
      <w:pPr>
        <w:pStyle w:val="ListBullet"/>
      </w:pPr>
      <w:r>
        <w:t>**Margen operativo:** 16,3% en 2024 vs. 18,3% en 2021 — ligera compresión por el mayor peso de adquisiciones más grandes y complejas, pero en recuperación con el EBITDA escalando a C$2.485B</w:t>
      </w:r>
    </w:p>
    <w:p>
      <w:pPr>
        <w:pStyle w:val="ListBullet"/>
      </w:pPr>
      <w:r>
        <w:t>**Margen neto:** 7,3% — artificialmente deprimido por amortización de intangibles (clave en negocios adquiridos) y costes de financiación. **El FCF es la métrica que importa.**</w:t>
      </w:r>
    </w:p>
    <w:p/>
    <w:p>
      <w:pPr>
        <w:pStyle w:val="Heading3"/>
      </w:pPr>
      <w:r>
        <w:t>Free Cash Flow: la joya del modelo</w:t>
      </w:r>
    </w:p>
    <w:p/>
    <w:p>
      <w:r>
        <w:t>El FCF ha crecido de C$1.271B (2021) a **C$2.129B (2024)**, con un yield sobre capitalización de mercado de aproximadamente el **3,7%** a precios actuales — nada despreciable para un negocio que reinvierte ese capital al 20%+.</w:t>
      </w:r>
    </w:p>
    <w:p/>
    <w:p>
      <w:r>
        <w:t>El EBITDA de C$2.485B en 2024 supone casi **doblar** el dato de 2021 (C$1.066B), reflejando la mejora de la calidad operativa del portfolio adquirido.</w:t>
      </w:r>
    </w:p>
    <w:p/>
    <w:p>
      <w:pPr>
        <w:pStyle w:val="Heading3"/>
      </w:pPr>
      <w:r>
        <w:t>Balance: deuda manejable, estructura diseñada para adquirir</w:t>
      </w:r>
    </w:p>
    <w:p/>
    <w:p>
      <w:pPr>
        <w:pStyle w:val="ListBullet"/>
      </w:pPr>
      <w:r>
        <w:t>**Deuda total:** C$4.533B</w:t>
      </w:r>
    </w:p>
    <w:p>
      <w:pPr>
        <w:pStyle w:val="ListBullet"/>
      </w:pPr>
      <w:r>
        <w:t>**Caja:** C$1.980B</w:t>
      </w:r>
    </w:p>
    <w:p>
      <w:pPr>
        <w:pStyle w:val="ListBullet"/>
      </w:pPr>
      <w:r>
        <w:t>**Deuda neta:** ~C$2.553B → ~1,0x EBITDA 2024</w:t>
      </w:r>
    </w:p>
    <w:p/>
    <w:p>
      <w:r>
        <w:t>El nivel de apalancamiento es conservador dado el poder de generación de caja. Constellation ha emitido debentures (como el Series 1 al 8,6% anunciado en enero) para financiar adquisiciones, manteniendo el balance sano. La deuda es una **herramienta de crecimiento**, no una amenaza existencial.</w:t>
      </w:r>
    </w:p>
    <w:p/>
    <w:p/>
    <w:p/>
    <w:p>
      <w:pPr>
        <w:pStyle w:val="Heading2"/>
      </w:pPr>
      <w:r>
        <w:t>Valoración DCF</w:t>
      </w:r>
    </w:p>
    <w:p/>
    <w:p>
      <w:pPr>
        <w:pStyle w:val="Heading3"/>
      </w:pPr>
      <w:r>
        <w:t>Metodología</w:t>
      </w:r>
    </w:p>
    <w:p/>
    <w:p>
      <w:r>
        <w:t>El modelo proyecta los ingresos futuros de Constellation durante 5 años y aplica los **márgenes históricos promedio** (gross margin ~35,7%, SG&amp;A, D&amp;A, impuestos) para llegar al **Unlevered Free Cash Flow (UFCF)** en cada período.</w:t>
      </w:r>
    </w:p>
    <w:p/>
    <w:p>
      <w:r>
        <w:t>Un detalle metodológico importante: el CapEx utilizado en el modelo es exclusivamente el de **mantenimiento** (aproximado a la Depreciación &amp; Amortización de activos tangibles). El CapEx de crecimiento —en el caso de Constellation, fundamentalmente el capital destinado a **adquisiciones**— **no se resta** del UFCF porque ya está capturado implícitamente en las tasas de crecimiento de revenue proyectadas. Esto es relevante: Constellation destina virtualmente todo su FCF libre a adquisiciones, por lo que el "CapEx de crecimiento real" es enorme. El modelo lo trata correctamente al separar ambos conceptos, pero el inversor debe ser consciente de que los flujos no distribuibles son el motor del crecimiento proyectado.</w:t>
      </w:r>
    </w:p>
    <w:p/>
    <w:p>
      <w:r>
        <w:t>El **Valor Terminal** se calcula mediante **múltiplo de salida por sector** (EV/EBITDA de software de aplicación), no por Gordon Growth, evitando la sensibilidad excesiva a la tasa de crecimiento a perpetuidad. El **WACC** se construye vía CAPM real, con la **beta de 0,66** de Constellation —notablemente baja para tecnología, reflejo de la naturaleza defensiva y recurrente de sus ingresos—, lo que reduce el coste de capital y apoya valoraciones más altas.</w:t>
      </w:r>
    </w:p>
    <w:p/>
    <w:p>
      <w:pPr>
        <w:pStyle w:val="Heading3"/>
      </w:pPr>
      <w:r>
        <w:t>Los tres escenarios</w:t>
      </w:r>
    </w:p>
    <w:p/>
    <w:p>
      <w:r>
        <w:t>| Parámetro | 🐻 Bear | 📊 Base | 🐂 Bull |</w:t>
      </w:r>
    </w:p>
    <w:p>
      <w:r>
        <w:t>|-----------|---------|---------|---------|</w:t>
      </w:r>
    </w:p>
    <w:p>
      <w:r>
        <w:t>| Crecimiento ingresos Año 1 | +12,3% | +17,5% | +22,8% |</w:t>
      </w:r>
    </w:p>
    <w:p>
      <w:r>
        <w:t>| Crecimiento ingresos Año 5 | +7,4% | +10,5% | +13,6% |</w:t>
      </w:r>
    </w:p>
    <w:p>
      <w:r>
        <w:t>| Margen bruto | 33,7% | 35,7% | 37,7% |</w:t>
      </w:r>
    </w:p>
    <w:p>
      <w:r>
        <w:t>| WACC | 9,76% | 7,76% | 6,76% |</w:t>
      </w:r>
    </w:p>
    <w:p>
      <w:r>
        <w:t>| Múltiplo terminal EV/EBITDA | 16x | 19x | 21x |</w:t>
      </w:r>
    </w:p>
    <w:p>
      <w:r>
        <w:t>| **Precio implícito estimado** | **~C$2.800–3.100** | **~C$3.900–4.200** | **~C$5.000–5.500** |</w:t>
      </w:r>
    </w:p>
    <w:p/>
    <w:p>
      <w:r>
        <w:t>**Escenario base:** Con revenues escalando desde C$10B hacia ~C$18B en 5 años (asumiendo el ritmo adquisidor continúa) y márgenes estables, el valor intrínseco se sitúa en el rango de **C$3.900–4.200**, alineado con la media de los analistas de sell-side (C$4.194). A C$2.700, el margen de seguridad es del **44%**.</w:t>
      </w:r>
    </w:p>
    <w:p/>
    <w:p>
      <w:r>
        <w:t>**Escenario bear:** Incluso en el escenario pesimista —crecimiento más lento, márgenes comprimidos y coste de capital más elevado—, el precio justo supera el actual. Esto indica que la acción cotiza con descuento incluso bajo supuestos desfavorables, lo que es extraordinariamente raro en una empresa de esta calidad.</w:t>
      </w:r>
    </w:p>
    <w:p/>
    <w:p>
      <w:r>
        <w:t>**Escenario bull:** Si el despliegue de capital hacia nuevos mercados y la estrategia de "ever larger" acquisitions mantiene las tasas de retorno, el precio podría alcanzar los **C$5.000–5.500**, en línea con el objetivo más alto de los analistas (C$5.513).</w:t>
      </w:r>
    </w:p>
    <w:p/>
    <w:p/>
    <w:p/>
    <w:p>
      <w:pPr>
        <w:pStyle w:val="Heading2"/>
      </w:pPr>
      <w:r>
        <w:t>Riesgos principales</w:t>
      </w:r>
    </w:p>
    <w:p/>
    <w:p>
      <w:r>
        <w:t>1. **Escasez de targets de adquisición a buen precio:** El crecimiento de Constellation depende de encontrar empresas VMS a múltiplos razonables. A medida que el mercado conoce el "Constellation playbook", los vendedores piden más. Si los múltiplos de entrada suben materialmente, la tasa de retorno sobre el capital invertido caerá.</w:t>
      </w:r>
    </w:p>
    <w:p/>
    <w:p>
      <w:r>
        <w:t>2. **Tamaño y ley de los grandes números:** Con C$10B de revenue, mantener tasas de crecimiento del 15–20% requiere desplegar cada vez más capital. Constellation ya está mirando adquisiciones de mayor tamaño ("elephant hunting"), con perfiles de riesgo diferentes a los negocios pequeños que históricamente han sido su nicho.</w:t>
      </w:r>
    </w:p>
    <w:p/>
    <w:p>
      <w:r>
        <w:t>3. **Riesgo de integración y cultura:** La descentralización es una fortaleza, pero también una fragilidad. Adquisiciones más grandes o en geografías culturalmente distantes (Asia, Latinoamérica) pueden erosionar la disciplina operativa que ha caracterizado al grupo.</w:t>
      </w:r>
    </w:p>
    <w:p/>
    <w:p>
      <w:r>
        <w:t>4. **Tipo de cambio y exposición geográfica:** Con operaciones en múltiples monedas (USD, GBP, EUR), una apreciación sostenida del CAD podría impactar negativamente los resultados reportados, aunque este riesgo es relativamente manejable dado el carácter natural del hedging geográfico.</w:t>
      </w:r>
    </w:p>
    <w:p/>
    <w:p/>
    <w:p/>
    <w:p>
      <w:pPr>
        <w:pStyle w:val="Heading2"/>
      </w:pPr>
      <w:r>
        <w:t>Catalizadores</w:t>
      </w:r>
    </w:p>
    <w:p/>
    <w:p>
      <w:r>
        <w:t>**Al alza (12–24 meses):**</w:t>
      </w:r>
    </w:p>
    <w:p>
      <w:pPr>
        <w:pStyle w:val="ListBullet"/>
      </w:pPr>
      <w:r>
        <w:t>**Aceleración del despliegue de capital:** cualquier anuncio de adquisiciones de tamaño relevante con múltiplos atractivos dispararía la confianza del mercado en la sostenibilidad del modelo.</w:t>
      </w:r>
    </w:p>
    <w:p>
      <w:pPr>
        <w:pStyle w:val="ListBullet"/>
      </w:pPr>
      <w:r>
        <w:t>**Expansión de múltiplo post-corrección:** La acción ha caído ~38% desde máximos. Una normalización de sentimiento hacia el sector tech canadiense, combinada con resultados sólidos de Q1 y Q2 2026, podría catalizar una revalorización rápida.</w:t>
      </w:r>
    </w:p>
    <w:p>
      <w:pPr>
        <w:pStyle w:val="ListBullet"/>
      </w:pPr>
      <w:r>
        <w:t>**Resultados de Topicus:** La subsidiaria europea sigue creciendo con fuerza. Mejores resultados o una aceleración en Europa confirmarían la replicabilidad del modelo fuera de Norteamérica.</w:t>
      </w:r>
    </w:p>
    <w:p>
      <w:pPr>
        <w:pStyle w:val="ListBullet"/>
      </w:pPr>
      <w:r>
        <w:t>**Estrategia AI:** Los titulares recientes apuntan a que Constellation está explorando cómo integrar IA en su portfolio de software vertical — si consigue monetizar esto sin canibalizar márgenes, sería muy positivo.</w:t>
      </w:r>
    </w:p>
    <w:p/>
    <w:p>
      <w:r>
        <w:t>**A la baja:**</w:t>
      </w:r>
    </w:p>
    <w:p>
      <w:pPr>
        <w:pStyle w:val="ListBullet"/>
      </w:pPr>
      <w:r>
        <w:t>Una recesión global que afecte los presupuestos de los clientes (principalmente entidades públicas y PyMEs), aunque históricamente CSU ha mostrado resiliencia en ciclos bajistas.</w:t>
      </w:r>
    </w:p>
    <w:p>
      <w:pPr>
        <w:pStyle w:val="ListBullet"/>
      </w:pPr>
      <w:r>
        <w:t>Tipos de interés persistentemente altos que encarezcan la financiación de adquisiciones y eleven el WACC.</w:t>
      </w:r>
    </w:p>
    <w:p/>
    <w:p/>
    <w:p/>
    <w:p>
      <w:pPr>
        <w:pStyle w:val="Heading2"/>
      </w:pPr>
      <w:r>
        <w:t>Conclusión y plan de acción</w:t>
      </w:r>
    </w:p>
    <w:p/>
    <w:p>
      <w:r>
        <w:t>**Veredicto: COMPRAR — con convicción a precios por debajo de C$3.000**</w:t>
      </w:r>
    </w:p>
    <w:p/>
    <w:p>
      <w:r>
        <w:t>Constellation Software es una de las empresas más singulares que cotizan en bolsa en el mundo: un compounder de calidad excepcional, con un moat casi inexpugnable basado en costes de cambio, liderazgo con skin-in-the-game (Mark Leonard sigue siendo el principal accionista y apenas hace declaraciones públicas), y un modelo de asignación de capital que ha generado retornos superiores al 20% anual durante tres décadas.</w:t>
      </w:r>
    </w:p>
    <w:p/>
    <w:p>
      <w:r>
        <w:t>La corrección del 38% desde máximos no refleja un deterioro fundamental del negocio: el FCF creció un 22,4% en 2024 y el pipeline de adquisiciones sigue activo. Parece responder, más bien, a una rotación sectorial, un ajuste de múltiplos globales en tech y cierta incertidumbre macroeconómica.</w:t>
      </w:r>
    </w:p>
    <w:p/>
    <w:p>
      <w:r>
        <w:t>**Plan de acción sugerido:**</w:t>
      </w:r>
    </w:p>
    <w:p>
      <w:pPr>
        <w:pStyle w:val="ListBullet"/>
      </w:pPr>
      <w:r>
        <w:t>**Entrada principal:** Construir posición en el rango **C$2.500–2.800**, donde el margen de seguridad supera el 40% respecto al escenario base y el pesimista apenas cubre los niveles actuales.</w:t>
      </w:r>
    </w:p>
    <w:p>
      <w:pPr>
        <w:pStyle w:val="ListBullet"/>
      </w:pPr>
      <w:r>
        <w:t>**Ampliación:** Si el precio corrigiese hacia C$2.200–2.400 ante deterioro macro (sin cambio fundamental), ampliar con convicción.</w:t>
      </w:r>
    </w:p>
    <w:p>
      <w:pPr>
        <w:pStyle w:val="ListBullet"/>
      </w:pPr>
      <w:r>
        <w:t>**Precio objetivo 12–18 meses:** C$3.800–4.200 (escenario base). Potencial de revalorización del **40–55%**.</w:t>
      </w:r>
    </w:p>
    <w:p>
      <w:pPr>
        <w:pStyle w:val="ListBullet"/>
      </w:pPr>
      <w:r>
        <w:t>**Horizonte recomendado:** Mínimo 3–5 años. CSU no es una apuesta táctica; es un compounder que trabaja mejor cuanto más tiempo se le da.</w:t>
      </w:r>
    </w:p>
    <w:p/>
    <w:p>
      <w:r>
        <w:t>&gt; "El mejor negocio para poseer es aquel que, a lo largo de un período prolongado, puede emplear grandes cantidades de capital incremental con tasas de retorno muy altas." — Warren Buffett. Constellation Software es, precisamente, ese negocio.</w:t>
      </w:r>
    </w:p>
    <w:p/>
    <w:p/>
    <w:p/>
    <w:p>
      <w:r>
        <w:t>*Análisis generado el 19/03/2026. No constituye consejo de inversión. El inversor debe realizar su propio análisis y considerar su perfil de riesgo antes de tomar decisiones de inversión.*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