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DE - Deere &amp; Company</w:t>
      </w:r>
    </w:p>
    <w:p/>
    <w:p>
      <w:pPr>
        <w:jc w:val="center"/>
      </w:pPr>
      <w:r>
        <w:rPr>
          <w:sz w:val="24"/>
        </w:rPr>
        <w:t>07 de March de 2026</w:t>
      </w:r>
    </w:p>
    <w:p>
      <w:r>
        <w:br w:type="page"/>
      </w:r>
    </w:p>
    <w:p>
      <w:pPr>
        <w:pStyle w:val="Heading2"/>
      </w:pPr>
      <w:r>
        <w:t>DE — Deere &amp; Company | 🟡 ACUMULACIÓN SELECTIVA</w:t>
      </w:r>
    </w:p>
    <w:p/>
    <w:p/>
    <w:p/>
    <w:p>
      <w:pPr>
        <w:pStyle w:val="Heading3"/>
      </w:pPr>
      <w:r>
        <w:t>Resumen ejecutivo</w:t>
      </w:r>
    </w:p>
    <w:p/>
    <w:p>
      <w:r>
        <w:t>**Precio actual:** $589,77 | **Precio objetivo (base):** ~$665 | **Margen de seguridad estimado:** ~13%</w:t>
      </w:r>
    </w:p>
    <w:p>
      <w:r>
        <w:t>La acción cotiza con descuento moderado respecto a su valor intrínseco en el escenario base, en pleno ciclo bajista agrícola que ha comprimido resultados desde los máximos de 2023. Para inversores con horizonte de 3-5 años, el punto de entrada actual es razonable; por debajo de $540 sería claramente atractivo.</w:t>
      </w:r>
    </w:p>
    <w:p/>
    <w:p/>
    <w:p/>
    <w:p>
      <w:pPr>
        <w:pStyle w:val="Heading3"/>
      </w:pPr>
      <w:r>
        <w:t>El negocio</w:t>
      </w:r>
    </w:p>
    <w:p/>
    <w:p>
      <w:r>
        <w:t>Deere &amp; Company (fundada en 1837, sede en Moline, Illinois) es el fabricante líder mundial de maquinaria agrícola y de construcción. Opera a través de cuatro segmentos: **Producción y Agricultura de Precisión** (tractores de gran potencia, cosechadoras, equipos de siembra), **Pequeña Agricultura y Césped** (tractores compactos, segadoras profesionales, equipos de golf), **Construcción y Forestal** (excavadoras, niveladoras, pavimentadoras) y **Servicios Financieros** (financiación de ventas y arrendamientos a concesionarios y clientes finales).</w:t>
      </w:r>
    </w:p>
    <w:p/>
    <w:p>
      <w:r>
        <w:t>**El moat de Deere es extraordinariamente sólido y multicapa:**</w:t>
      </w:r>
    </w:p>
    <w:p/>
    <w:p>
      <w:pPr>
        <w:pStyle w:val="ListBullet"/>
      </w:pPr>
      <w:r>
        <w:t>**Marca centenaria y lealtad del agricultor:** cambiar de marca implica reentrenamiento, incompatibilidad de accesorios y ruptura con el concesionario local. La tasa de repetición de compra es de las más altas de cualquier sector industrial.</w:t>
      </w:r>
    </w:p>
    <w:p>
      <w:pPr>
        <w:pStyle w:val="ListBullet"/>
      </w:pPr>
      <w:r>
        <w:t>**Ecosistema tecnológico propietario (John Deere Operations Center):** la plataforma digital conecta maquinaria, datos agronómicos y telemetría. Con más de 400 millones de acres gestionados digitalmente, Deere acumula una ventaja de datos que los competidores no pueden replicar en años.</w:t>
      </w:r>
    </w:p>
    <w:p>
      <w:pPr>
        <w:pStyle w:val="ListBullet"/>
      </w:pPr>
      <w:r>
        <w:t>**Agricultura de precisión como barrera diferencial:** sus sistemas RTK, autopiloto y conectividad satelital (incluyendo la reciente alianza con Bayer para integrar datos de cultivos) crean dependencia tecnológica creciente. El agricultor que adopta el ecosistema Deere tiene costes de cambio altísimos.</w:t>
      </w:r>
    </w:p>
    <w:p>
      <w:pPr>
        <w:pStyle w:val="ListBullet"/>
      </w:pPr>
      <w:r>
        <w:t>**Red de concesionarios y repuestos:** la infraestructura de servicio post-venta es inigualable en zonas rurales de América del Norte, Europa y Brasil. El negocio de repuestos genera márgenes superiores al 50% y es contracíclico.</w:t>
      </w:r>
    </w:p>
    <w:p>
      <w:pPr>
        <w:pStyle w:val="ListBullet"/>
      </w:pPr>
      <w:r>
        <w:t>**Servicios Financieros captivos:** financian el ~40% de las ventas al detalle, generando ingresos recurrentes y estabilizando la demanda en ciclos bajistas.</w:t>
      </w:r>
    </w:p>
    <w:p/>
    <w:p/>
    <w:p/>
    <w:p>
      <w:pPr>
        <w:pStyle w:val="Heading3"/>
      </w:pPr>
      <w:r>
        <w:t>Análisis financiero</w:t>
      </w:r>
    </w:p>
    <w:p/>
    <w:p>
      <w:r>
        <w:t>**Ciclo claro con pico en 2023:** Los ingresos alcanzaron $60.248M en 2023 (+17,5% sobre 2022), impulsados por precios agrícolas poscovid, subsidios gubernamentales y demanda embalsada. Desde entonces, el ciclo ha girado con fuerza: $50.518M en 2024 (-16,2%) y $44.665M en 2025 (-11,6%), situándose hoy por debajo incluso del nivel de 2022.</w:t>
      </w:r>
    </w:p>
    <w:p/>
    <w:p>
      <w:r>
        <w:t>| Métrica | 2022 | 2023 | 2024 | 2025 |</w:t>
      </w:r>
    </w:p>
    <w:p>
      <w:r>
        <w:t>|---|---|---|---|---|</w:t>
      </w:r>
    </w:p>
    <w:p>
      <w:r>
        <w:t>| Revenue ($M) | 51.282 | 60.248 | 50.518 | 44.665 |</w:t>
      </w:r>
    </w:p>
    <w:p>
      <w:r>
        <w:t>| EBITDA ($M) | 12.084 | 17.476 | 14.672 | 11.656 |</w:t>
      </w:r>
    </w:p>
    <w:p>
      <w:r>
        <w:t>| Margen EBITDA | 23,6% | 29,0% | 29,0% | 26,1% |</w:t>
      </w:r>
    </w:p>
    <w:p>
      <w:r>
        <w:t>| Margen neto | 13,9% | 16,9% | 14,1% | 11,3% |</w:t>
      </w:r>
    </w:p>
    <w:p>
      <w:r>
        <w:t>| FCF ($M) | 911 | 4.121 | 4.429 | 3.231 |</w:t>
      </w:r>
    </w:p>
    <w:p/>
    <w:p>
      <w:r>
        <w:t>**Observaciones clave:**</w:t>
      </w:r>
    </w:p>
    <w:p/>
    <w:p>
      <w:pPr>
        <w:pStyle w:val="ListBullet"/>
      </w:pPr>
      <w:r>
        <w:t>**Márgenes resilientes en la caída:** pese a una contracción de ingresos de ~$15.600M en dos años, el margen EBITDA se mantiene por encima del 26%. Esto demuestra la capacidad de Deere para gestionar costes variables y la fortaleza del mix de repuestos/servicios.</w:t>
      </w:r>
    </w:p>
    <w:p>
      <w:pPr>
        <w:pStyle w:val="ListBullet"/>
      </w:pPr>
      <w:r>
        <w:t>**FCF sorprendentemente estable:** el FCF en 2025 ($3.231M) es muy superior al de 2022 ($911M), un año de revenue similar. La empresa ha mejorado estructuralmente su conversión de caja mediante mejor gestión de capital circulante.</w:t>
      </w:r>
    </w:p>
    <w:p>
      <w:pPr>
        <w:pStyle w:val="ListBullet"/>
      </w:pPr>
      <w:r>
        <w:t>**Deuda elevada pero estructural:** $64.250M de deuda bruta frente a $8.276M de caja. Sin embargo, ~$55.000M corresponden al segmento de Servicios Financieros (equivalente al balance de un banco), que se financia con deuda específicamente para prestar. La deuda industrial neta es significativamente menor y manejable con el flujo operativo.</w:t>
      </w:r>
    </w:p>
    <w:p>
      <w:pPr>
        <w:pStyle w:val="ListBullet"/>
      </w:pPr>
      <w:r>
        <w:t>**Equity sólido:** $26.007M de capital propio con beneficio neto de $5.027M implica un ROE del 19,3%, sobresaliente para el sector industrial.</w:t>
      </w:r>
    </w:p>
    <w:p/>
    <w:p/>
    <w:p/>
    <w:p>
      <w:pPr>
        <w:pStyle w:val="Heading3"/>
      </w:pPr>
      <w:r>
        <w:t>Valoración DCF</w:t>
      </w:r>
    </w:p>
    <w:p/>
    <w:p>
      <w:r>
        <w:t>**Metodología:** El modelo proyecta los ingresos futuros de Deere a 5 años aplicando los márgenes históricos promedio (bruto: 35,7%; SG&amp;A; I+D; D&amp;A; tasa impositiva efectiva) para derivar el Flujo de Caja Libre No Apalancado (UFCF). **Importante distinción de CapEx:** el CapEx de mantenimiento (≈Depreciación) se resta del flujo, pero el CapEx de crecimiento (expansión de plantas, nuevas líneas de producción, I+D capitalizado) no se sustrae directamente porque su retorno ya está capturado en las tasas de crecimiento de revenue proyectadas. En el caso de Deere, la diferencia entre CapEx total real (~$1.400M industrial en 2025) y el CapEx de mantenimiento estimado (~$900M) es moderada, lo que no distorsiona materialmente el modelo. El valor terminal se calcula mediante múltiplo de salida sobre EBITDA (metodología por múltiplo sectorial, no Gordon Growth). El WACC se estima vía CAPM real: beta 0,961 × prima de riesgo de mercado + tasa libre de riesgo.</w:t>
      </w:r>
    </w:p>
    <w:p/>
    <w:p>
      <w:r>
        <w:t>**Escenario Conservador (Bear):**</w:t>
      </w:r>
    </w:p>
    <w:p>
      <w:pPr>
        <w:pStyle w:val="ListBullet"/>
      </w:pPr>
      <w:r>
        <w:t>Crecimiento Y1: +9,1% (recuperación lenta del ciclo), desaceleración a +5,5% en Y5</w:t>
      </w:r>
    </w:p>
    <w:p>
      <w:pPr>
        <w:pStyle w:val="ListBullet"/>
      </w:pPr>
      <w:r>
        <w:t>Margen bruto: 33,7% (contracción adicional por presión de costes)</w:t>
      </w:r>
    </w:p>
    <w:p>
      <w:pPr>
        <w:pStyle w:val="ListBullet"/>
      </w:pPr>
      <w:r>
        <w:t>WACC: 10,13% | Múltiplo terminal EBITDA: 9x</w:t>
      </w:r>
    </w:p>
    <w:p>
      <w:pPr>
        <w:pStyle w:val="ListBullet"/>
      </w:pPr>
      <w:r>
        <w:t>**Precio objetivo: ~$450-480** — implica caída adicional del ~20%</w:t>
      </w:r>
    </w:p>
    <w:p/>
    <w:p>
      <w:r>
        <w:t>**Escenario Base:**</w:t>
      </w:r>
    </w:p>
    <w:p>
      <w:pPr>
        <w:pStyle w:val="ListBullet"/>
      </w:pPr>
      <w:r>
        <w:t>Crecimiento Y1: +13% (recuperación cíclica normalizada desde base deprimida), +7,8% en Y5</w:t>
      </w:r>
    </w:p>
    <w:p>
      <w:pPr>
        <w:pStyle w:val="ListBullet"/>
      </w:pPr>
      <w:r>
        <w:t>Margen bruto: 35,7% (promedio histórico 2022-2025)</w:t>
      </w:r>
    </w:p>
    <w:p>
      <w:pPr>
        <w:pStyle w:val="ListBullet"/>
      </w:pPr>
      <w:r>
        <w:t>WACC: 8,13% | Múltiplo terminal EBITDA: 12x</w:t>
      </w:r>
    </w:p>
    <w:p>
      <w:pPr>
        <w:pStyle w:val="ListBullet"/>
      </w:pPr>
      <w:r>
        <w:t>**Precio objetivo: ~$640-680** — upside del ~12-15%</w:t>
      </w:r>
    </w:p>
    <w:p/>
    <w:p>
      <w:r>
        <w:t>**Escenario Optimista (Bull):**</w:t>
      </w:r>
    </w:p>
    <w:p>
      <w:pPr>
        <w:pStyle w:val="ListBullet"/>
      </w:pPr>
      <w:r>
        <w:t>Crecimiento Y1: +16,9% (recuperación más rápida + monetización tecnología de precisión), +10,1% en Y5</w:t>
      </w:r>
    </w:p>
    <w:p>
      <w:pPr>
        <w:pStyle w:val="ListBullet"/>
      </w:pPr>
      <w:r>
        <w:t>Margen bruto: 37,7% (mejora por mix hacia software/servicios y repuestos)</w:t>
      </w:r>
    </w:p>
    <w:p>
      <w:pPr>
        <w:pStyle w:val="ListBullet"/>
      </w:pPr>
      <w:r>
        <w:t>WACC: 7,13% | Múltiplo terminal EBITDA: 14x</w:t>
      </w:r>
    </w:p>
    <w:p>
      <w:pPr>
        <w:pStyle w:val="ListBullet"/>
      </w:pPr>
      <w:r>
        <w:t>**Precio objetivo: ~$850-900** — upside del ~45-55%</w:t>
      </w:r>
    </w:p>
    <w:p/>
    <w:p>
      <w:r>
        <w:t>**¿Por qué el precio objetivo base de ~$665 es razonable?** Deere cotiza hoy a ~14x EBITDA 2025 deprimido. Si normalizamos el EBITDA a los niveles de ciclo medio (~$13.500M), el múltiplo real es de ~11,8x, perfectamente consistente con el 12x del múltiplo terminal y con los rangos históricos del sector (10-15x para líderes industriales con moat). Los analistas de consenso sitúan el precio objetivo medio en $665,8, con rango $500-$793, lo que valida el escenario base.</w:t>
      </w:r>
    </w:p>
    <w:p/>
    <w:p/>
    <w:p/>
    <w:p>
      <w:pPr>
        <w:pStyle w:val="Heading3"/>
      </w:pPr>
      <w:r>
        <w:t>Riesgos principales</w:t>
      </w:r>
    </w:p>
    <w:p/>
    <w:p>
      <w:r>
        <w:t>1. **Prolongación del ciclo bajista agrícola:** Si los precios del maíz, soja y trigo permanecen deprimidos más tiempo del esperado, los agricultores seguirán aplazando inversiones en maquinaria. Un escenario de mercados agrícolas débiles hasta 2027 podría presionar ingresos adicional un 10-15%, acercando la valoración al escenario bear.</w:t>
      </w:r>
    </w:p>
    <w:p/>
    <w:p>
      <w:r>
        <w:t>2. **Aranceles y disrupción de cadena de suministro:** La política comercial de EE.UU. (aranceles sobre acero, aluminio e importaciones agrícolas chinas) puede encarecer los costes de producción de Deere y generar represalias que limiten exportaciones de maquinaria. La guerra comercial es el riesgo macro más inmediato para la acción.</w:t>
      </w:r>
    </w:p>
    <w:p/>
    <w:p>
      <w:r>
        <w:t>3. **Deuda del segmento financiero en ciclo de estrés crediticio:** Con $64.250M de deuda total, si los tipos de interés se mantienen elevados y los agricultores financiados por John Deere Financial sufren impagos, la división financiera podría generar pérdidas inesperadas que impacten al grupo.</w:t>
      </w:r>
    </w:p>
    <w:p/>
    <w:p>
      <w:r>
        <w:t>4. **Competencia tecnológica acelerada (CNH, AGCO, startups):** El espacio de agricultura de precisión atrae inversión masiva. CNH con Case IH/New Holland y AGCO con Fendt están cerrando la brecha tecnológica. Si Deere pierde su prima tecnológica, el múltiplo de valoración se comprimiría hacia medias sectoriales más bajas.</w:t>
      </w:r>
    </w:p>
    <w:p/>
    <w:p/>
    <w:p/>
    <w:p>
      <w:pPr>
        <w:pStyle w:val="Heading3"/>
      </w:pPr>
      <w:r>
        <w:t>Catalizadores</w:t>
      </w:r>
    </w:p>
    <w:p/>
    <w:p>
      <w:r>
        <w:t>**Al alza (12-24 meses):**</w:t>
      </w:r>
    </w:p>
    <w:p>
      <w:pPr>
        <w:pStyle w:val="ListBullet"/>
      </w:pPr>
      <w:r>
        <w:t>**Recuperación cíclica agrícola:** cualquier mejora sostenida en precios de commodities (maíz &gt;$5/bushel, soja &gt;$11/bushel) provocaría una aceleración rápida en órdenes de maquinaria. Los indicadores de ciclo agrícola históricamente anticipan el giro de Deere 6-9 meses.</w:t>
      </w:r>
    </w:p>
    <w:p>
      <w:pPr>
        <w:pStyle w:val="ListBullet"/>
      </w:pPr>
      <w:r>
        <w:t>**Monetización de la plataforma tecnológica:** la alianza con Bayer para integrar datos agronómicos y prescripciones de semillas/fitosanitarios es un paso hacia un modelo SaaS que el mercado aún no valora correctamente en el múltiplo.</w:t>
      </w:r>
    </w:p>
    <w:p>
      <w:pPr>
        <w:pStyle w:val="ListBullet"/>
      </w:pPr>
      <w:r>
        <w:t>**Recompras de acciones agresivas:** Deere tiene un historial consistente de recompra accionarial. Con el precio actual, la directiva puede destruir hasta un 3-4% anual del capital flotante, generando valor compuesto.</w:t>
      </w:r>
    </w:p>
    <w:p>
      <w:pPr>
        <w:pStyle w:val="ListBullet"/>
      </w:pPr>
      <w:r>
        <w:t>**Resultados del Q1 FY2026 (próximo catalizador inmediato):** cualquier revisión al alza del guidance 2026 o mejora en los márgenes podría generar un re-rating rápido desde niveles deprimidos.</w:t>
      </w:r>
    </w:p>
    <w:p/>
    <w:p>
      <w:r>
        <w:t>**A la baja:**</w:t>
      </w:r>
    </w:p>
    <w:p>
      <w:pPr>
        <w:pStyle w:val="ListBullet"/>
      </w:pPr>
      <w:r>
        <w:t>Profit warning adicional si las ventas de maquinaria grande siguen cayendo en Norteamérica más de lo esperado.</w:t>
      </w:r>
    </w:p>
    <w:p>
      <w:pPr>
        <w:pStyle w:val="ListBullet"/>
      </w:pPr>
      <w:r>
        <w:t>Escalada arancelaria que encarezca materiales y cierre mercados de exportación.</w:t>
      </w:r>
    </w:p>
    <w:p/>
    <w:p/>
    <w:p/>
    <w:p>
      <w:pPr>
        <w:pStyle w:val="Heading3"/>
      </w:pPr>
      <w:r>
        <w:t>Conclusión y plan de acción</w:t>
      </w:r>
    </w:p>
    <w:p/>
    <w:p>
      <w:r>
        <w:t>Deere es una de las empresas industriales más excepcionales del mundo: 189 años de historia, liderazgo tecnológico genuino, moat multicapa y una transición creíble hacia ingresos recurrentes de software y datos. La situación actual —ciclo bajista, caída de ingresos del ~26% desde máximos, sentimiento deteriorado— es exactamente el tipo de entorno que el inversor value busca para construir posición.</w:t>
      </w:r>
    </w:p>
    <w:p/>
    <w:p>
      <w:r>
        <w:t>**Recomendación: ACUMULACIÓN SELECTIVA con disciplina de precio.**</w:t>
      </w:r>
    </w:p>
    <w:p/>
    <w:p>
      <w:pPr>
        <w:pStyle w:val="ListBullet"/>
      </w:pPr>
      <w:r>
        <w:t>**Por encima de $630:** esperar o mantener posiciones pequeñas. El margen de seguridad es insuficiente para un riesgo cíclico que aún no ha terminado.</w:t>
      </w:r>
    </w:p>
    <w:p>
      <w:pPr>
        <w:pStyle w:val="ListBullet"/>
      </w:pPr>
      <w:r>
        <w:t>**Entre $540-$590 (nivel actual):** construir posición parcial (30-50% del objetivo). El descuento respecto al valor intrínseco base justifica entrada, aunque el timing perfecto de ciclo es incierto.</w:t>
      </w:r>
    </w:p>
    <w:p>
      <w:pPr>
        <w:pStyle w:val="ListBullet"/>
      </w:pPr>
      <w:r>
        <w:t>**Por debajo de $500:** compra agresiva. A ese nivel el mercado estaría descontando un escenario casi catastrófico que históricamente no ha materializado en un negocio con el moat de Deere.</w:t>
      </w:r>
    </w:p>
    <w:p/>
    <w:p>
      <w:r>
        <w:t>**Stop loss conceptual:** si los ingresos del año fiscal 2026 no muestran signos de estabilización para el Q2 y los márgenes operativos caen por debajo del 15%, revisar tesis.</w:t>
      </w:r>
    </w:p>
    <w:p/>
    <w:p>
      <w:r>
        <w:t>**Horizonte recomendado:** 3-5 años, con reinversión de dividendos (~1,7% yield actual).</w:t>
      </w:r>
    </w:p>
    <w:p/>
    <w:p/>
    <w:p>
      <w:r>
        <w:t>*Análisis generado el 07/03/2026. No es consejo de inversión. El análisis se basa en datos públicos y modelos cuantitativos que incorporan supuestos sujetos a incertidumbre. El inversor debe realizar su propia diligencia antes de tomar cualquier decisión.*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