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4E79"/>
          <w:sz w:val="48"/>
        </w:rPr>
        <w:t>TESIS DE INVERSION</w:t>
      </w:r>
    </w:p>
    <w:p>
      <w:pPr>
        <w:jc w:val="center"/>
      </w:pPr>
      <w:r>
        <w:rPr>
          <w:color w:val="2E74B5"/>
          <w:sz w:val="32"/>
        </w:rPr>
        <w:t>IREN - IREN Limited</w:t>
      </w:r>
    </w:p>
    <w:p/>
    <w:p>
      <w:pPr>
        <w:jc w:val="center"/>
      </w:pPr>
      <w:r>
        <w:rPr>
          <w:sz w:val="24"/>
        </w:rPr>
        <w:t>17 de March de 2026</w:t>
      </w:r>
    </w:p>
    <w:p>
      <w:r>
        <w:br w:type="page"/>
      </w:r>
    </w:p>
    <w:p>
      <w:pPr>
        <w:pStyle w:val="Heading2"/>
      </w:pPr>
      <w:r>
        <w:t>IREN — IREN Limited | ⚠️ ESPECULATIVO / SEGUIMIENTO ACTIVO</w:t>
      </w:r>
    </w:p>
    <w:p/>
    <w:p/>
    <w:p/>
    <w:p>
      <w:pPr>
        <w:pStyle w:val="Heading3"/>
      </w:pPr>
      <w:r>
        <w:t>Resumen ejecutivo</w:t>
      </w:r>
    </w:p>
    <w:p/>
    <w:p>
      <w:r>
        <w:t>**Precio actual:** $44,94 | **Precio objetivo base:** ~$38–42 | **Margen de seguridad:** Negativo en escenario base; atractivo solo en escenario bull ($72–80)</w:t>
      </w:r>
    </w:p>
    <w:p/>
    <w:p>
      <w:r>
        <w:t>IREN Limited es una apuesta de alta convicción en la intersección del minado de Bitcoin y la infraestructura de IA, pero cotiza a una valoración que ya descuenta buena parte del crecimiento optimista. **No se recomienda compra agresiva a precios actuales**; sería interesante iniciar posición en correcciones hacia los $28–32, donde el margen de seguridad se vuelve razonable incluso en escenario base.</w:t>
      </w:r>
    </w:p>
    <w:p/>
    <w:p/>
    <w:p/>
    <w:p>
      <w:pPr>
        <w:pStyle w:val="Heading3"/>
      </w:pPr>
      <w:r>
        <w:t>El negocio</w:t>
      </w:r>
    </w:p>
    <w:p/>
    <w:p>
      <w:r>
        <w:t>IREN Limited (anteriormente Iris Energy, rebautizada en noviembre de 2024) opera centros de datos integrados verticalmente en **Australia y Canadá**. El negocio tiene dos motores entrelazados:</w:t>
      </w:r>
    </w:p>
    <w:p/>
    <w:p>
      <w:r>
        <w:t>1. **Minería de Bitcoin:** IREN posee y opera hardware de computación (ASICs) alimentado por infraestructura eléctrica propia, principalmente energía renovable. Es uno de los mineros listados más grandes del mundo por hashrate.</w:t>
      </w:r>
    </w:p>
    <w:p/>
    <w:p>
      <w:r>
        <w:t>2. **Infraestructura de IA / Cloud (NeoCloud):** La compañía está pivotando activamente hacia el alquiler de capacidad de cómputo GPU para cargas de trabajo de inteligencia artificial, compitiendo en el segmento "NeoCloud" junto a nombres como CoreWeave o Applied Digital.</w:t>
      </w:r>
    </w:p>
    <w:p/>
    <w:p>
      <w:r>
        <w:t>**Ventaja competitiva (moat):** IREN construye y posee su propia infraestructura eléctrica y los centros de datos, lo que le da control sobre costes operativos y acceso a energía de bajo coste. Sin embargo, el moat es cuestionable: la minería de Bitcoin es un commodity competitivo y el negocio de IA cloud está dominado por hipercalers y bien financiados rivales privados. La ventaja real está en la **ejecución operativa**, el acceso a energía barata y la capacidad de reutilizar infraestructura entre ambos negocios.</w:t>
      </w:r>
    </w:p>
    <w:p/>
    <w:p/>
    <w:p/>
    <w:p>
      <w:pPr>
        <w:pStyle w:val="Heading3"/>
      </w:pPr>
      <w:r>
        <w:t>Análisis financiero</w:t>
      </w:r>
    </w:p>
    <w:p/>
    <w:p>
      <w:r>
        <w:t>**Crecimiento de revenue explosivo pero joven:**</w:t>
      </w:r>
    </w:p>
    <w:p/>
    <w:p>
      <w:r>
        <w:t>| Año | Revenue | EBITDA | FCF |</w:t>
      </w:r>
    </w:p>
    <w:p>
      <w:r>
        <w:t>|-----|---------|--------|-----|</w:t>
      </w:r>
    </w:p>
    <w:p>
      <w:r>
        <w:t>| 2022 | $59M | $16M | -$332M |</w:t>
      </w:r>
    </w:p>
    <w:p>
      <w:r>
        <w:t>| 2023 | $75M | -$123M | -$110M |</w:t>
      </w:r>
    </w:p>
    <w:p>
      <w:r>
        <w:t>| 2024 | $187M | $25M | -$428M |</w:t>
      </w:r>
    </w:p>
    <w:p>
      <w:r>
        <w:t>| 2025 | $501M | $286M | -$1.127B |</w:t>
      </w:r>
    </w:p>
    <w:p/>
    <w:p>
      <w:r>
        <w:t>El salto de revenue de 2024 a 2025 es notable: **+168%**, pasando de $187M a $501M. El EBITDA también se disparó hasta $286M, lo que implica un margen EBITDA del ~57%. Esto refleja el apalancamiento operativo del negocio una vez que la infraestructura está construida y generando.</w:t>
      </w:r>
    </w:p>
    <w:p/>
    <w:p>
      <w:r>
        <w:t>**La trampa del FCF negativo:** El FCF en 2025 fue **-$1.127B**, el más negativo de su historia. Esto no es necesariamente una señal de alarma per se —es consecuencia directa del CapEx masivo de expansión en nuevos centros de datos y hardware GPU— pero requiere que el mercado confíe en que ese capital se convierte en flujos futuros. La empresa está en modo "construir primero, cobrar después".</w:t>
      </w:r>
    </w:p>
    <w:p/>
    <w:p>
      <w:r>
        <w:t>**Margen bruto histórico:** ~68% en 2025 (aunque el promedio histórico usado en el modelo es ~57%, más conservador por los años de pérdidas). El margen operativo apenas alcanza el 4,4%, penalizado por D&amp;A elevada y SG&amp;A.</w:t>
      </w:r>
    </w:p>
    <w:p/>
    <w:p>
      <w:r>
        <w:t>**Balance:** Deuda total de $964M frente a caja de $565M → deuda neta de ~$400M. Equity contable de $1.817B. La estructura financiera es manejable pero deja poco margen si el ciclo de Bitcoin se deteriora o si los contratos de IA cloud tardan en materializarse.</w:t>
      </w:r>
    </w:p>
    <w:p/>
    <w:p/>
    <w:p/>
    <w:p>
      <w:pPr>
        <w:pStyle w:val="Heading3"/>
      </w:pPr>
      <w:r>
        <w:t>Valoración DCF</w:t>
      </w:r>
    </w:p>
    <w:p/>
    <w:p>
      <w:r>
        <w:t>**Metodología:** El modelo proyecta el revenue futuro de IREN aplicando tasas de crecimiento decrecientes (del +40% en año 1 hasta ~+24% en año 5 para el escenario base). Sobre ese revenue se aplican los márgenes históricos promedio (gross margin ~57%, SG&amp;A, D&amp;A, impuestos) para estimar el UFCF (Unlevered Free Cash Flow).</w:t>
      </w:r>
    </w:p>
    <w:p/>
    <w:p>
      <w:r>
        <w:t>**Nota importante sobre CapEx:** Se utiliza exclusivamente CapEx de mantenimiento (aproximado como la depreciación del periodo). El CapEx de crecimiento —que en IREN es masivo, superando $1.000M en 2025— **no se resta**, porque ya está implícito en la tasa de crecimiento de revenue proyectada. Esto es metodológicamente correcto pero el inversor debe entender que la diferencia entre el CapEx total real (~$1.1B) y el de mantenimiento es enorme; IREN está en una fase de inversión intensiva que consume todo el flujo de caja y requiere financiación externa continua.</w:t>
      </w:r>
    </w:p>
    <w:p/>
    <w:p>
      <w:r>
        <w:t>**Terminal Value:** Se calcula mediante múltiplo de salida por sector (no Gordon Growth), usando EV/EBITDA terminal.</w:t>
      </w:r>
    </w:p>
    <w:p/>
    <w:p>
      <w:r>
        <w:t>**WACC:** Calculado via CAPM real. Con un **beta de 4,32**, el WACC resultante es elevadísimo (23,3% en escenario base), lo que refleja apropiadamente el riesgo de una empresa con exposición dual a Bitcoin y a un negocio de IA cloud en construcción.</w:t>
      </w:r>
    </w:p>
    <w:p/>
    <w:p>
      <w:r>
        <w:t>| Escenario | Crec. Y1 | Margen Bruto | WACC | Múltiplo Terminal | Precio Implícito |</w:t>
      </w:r>
    </w:p>
    <w:p>
      <w:r>
        <w:t>|-----------|----------|--------------|------|-------------------|-----------------|</w:t>
      </w:r>
    </w:p>
    <w:p>
      <w:r>
        <w:t>| **Bear** | +28% | 54,9% | 25,3% | 10x EBITDA | ~$18–22 |</w:t>
      </w:r>
    </w:p>
    <w:p>
      <w:r>
        <w:t>| **Base** | +40% | 56,9% | 23,3% | 13x EBITDA | ~$38–42 |</w:t>
      </w:r>
    </w:p>
    <w:p>
      <w:r>
        <w:t>| **Bull** | +52% | 58,9% | 22,3% | 15x EBITDA | ~$70–80 |</w:t>
      </w:r>
    </w:p>
    <w:p/>
    <w:p>
      <w:r>
        <w:t>El precio actual de $44,94 está **por encima del escenario base** y en el rango medio del camino hacia el bull case. Los analistas tienen un target medio de $80 (máximo $125), lo que implica que el consenso está descontando un escenario claramente optimista.</w:t>
      </w:r>
    </w:p>
    <w:p/>
    <w:p>
      <w:r>
        <w:t>**¿Por qué el precio objetivo base de ~$38–42 es razonable?** Porque con un WACC del 23%, el mercado exige una prima de riesgo brutal para descontar flujos de caja que hoy son negativos y que dependen de que (a) el precio de Bitcoin se mantenga o suba, (b) los contratos de IA cloud escalen rápido, y (c) la ejecución operativa no falle. A $40, el inversor compra con un colchón respecto al escenario base.</w:t>
      </w:r>
    </w:p>
    <w:p/>
    <w:p/>
    <w:p/>
    <w:p>
      <w:pPr>
        <w:pStyle w:val="Heading3"/>
      </w:pPr>
      <w:r>
        <w:t>Riesgos principales</w:t>
      </w:r>
    </w:p>
    <w:p/>
    <w:p>
      <w:r>
        <w:t>1. **Ciclo de Bitcoin:** El revenue de minería depende directamente del precio de BTC y de la dificultad de red. Un bear market en crypto (BTC por debajo de $50.000–60.000) comprimiría márgenes drásticamente y podría volver negativo el EBITDA. El halving ya ajustó recompensas a la baja en 2024.</w:t>
      </w:r>
    </w:p>
    <w:p/>
    <w:p>
      <w:r>
        <w:t>2. **Competencia en IA Cloud / Ejecución:** El mercado NeoCloud está atrayendo capital masivo (CoreWeave, Nebius, Applied Digital). IREN necesita cerrar contratos de largo plazo con clientes de IA antes de que los hipercalers (AWS, Azure, GCP) absorban la demanda. El riesgo de quedarse sin contratos es real.</w:t>
      </w:r>
    </w:p>
    <w:p/>
    <w:p>
      <w:r>
        <w:t>3. **Necesidades de financiación continua:** Con FCF negativo estructural durante los próximos 2–3 años de expansión, IREN depende del mercado de capitales. Dilución de accionistas o emisión de deuda adicional son escenarios probables. Con 331M de acciones actuales, cualquier ampliación tiene impacto directo en el precio.</w:t>
      </w:r>
    </w:p>
    <w:p/>
    <w:p>
      <w:r>
        <w:t>4. **Riesgo regulatorio y energético:** Opera en Australia y Canadá, mercados con riesgos regulatorios crecientes en torno al consumo energético de la minería de Bitcoin. Restricciones o costes energéticos al alza erosionarían el principal moat de la compañía.</w:t>
      </w:r>
    </w:p>
    <w:p/>
    <w:p/>
    <w:p/>
    <w:p>
      <w:pPr>
        <w:pStyle w:val="Heading3"/>
      </w:pPr>
      <w:r>
        <w:t>Catalizadores</w:t>
      </w:r>
    </w:p>
    <w:p/>
    <w:p>
      <w:r>
        <w:t>**Al alza:**</w:t>
      </w:r>
    </w:p>
    <w:p>
      <w:pPr>
        <w:pStyle w:val="ListBullet"/>
      </w:pPr>
      <w:r>
        <w:t>Anuncio de contratos significativos de IA cloud a largo plazo con clientes Tier-1 (similar al tipo de deal que Nvidia hizo con Nebius), que validen el modelo NeoCloud.</w:t>
      </w:r>
    </w:p>
    <w:p>
      <w:pPr>
        <w:pStyle w:val="ListBullet"/>
      </w:pPr>
      <w:r>
        <w:t>Bitcoin sostenido por encima de $90.000–100.000, maximizando el margen de minería.</w:t>
      </w:r>
    </w:p>
    <w:p>
      <w:pPr>
        <w:pStyle w:val="ListBullet"/>
      </w:pPr>
      <w:r>
        <w:t>Partnership o inversión estratégica de un gran player tecnológico (el movimiento de Nvidia con Nebius despertó interés por IREN; algo similar sería un catalizador explosivo).</w:t>
      </w:r>
    </w:p>
    <w:p>
      <w:pPr>
        <w:pStyle w:val="ListBullet"/>
      </w:pPr>
      <w:r>
        <w:t>Reducción de beta conforme el negocio de IA cloud madure y dé visibilidad de ingresos recurrentes.</w:t>
      </w:r>
    </w:p>
    <w:p/>
    <w:p>
      <w:r>
        <w:t>**A la baja:**</w:t>
      </w:r>
    </w:p>
    <w:p>
      <w:pPr>
        <w:pStyle w:val="ListBullet"/>
      </w:pPr>
      <w:r>
        <w:t>Corrección de Bitcoin hacia $50.000 o por debajo.</w:t>
      </w:r>
    </w:p>
    <w:p>
      <w:pPr>
        <w:pStyle w:val="ListBullet"/>
      </w:pPr>
      <w:r>
        <w:t>Retrasos en la construcción de nuevos data centers o sobrecostes de CapEx.</w:t>
      </w:r>
    </w:p>
    <w:p>
      <w:pPr>
        <w:pStyle w:val="ListBullet"/>
      </w:pPr>
      <w:r>
        <w:t>Emisión dilutiva de acciones para financiar expansión.</w:t>
      </w:r>
    </w:p>
    <w:p>
      <w:pPr>
        <w:pStyle w:val="ListBullet"/>
      </w:pPr>
      <w:r>
        <w:t>Macro adversa que eleve tasas y comprima múltiplos de empresas de alto crecimiento con FCF negativo.</w:t>
      </w:r>
    </w:p>
    <w:p/>
    <w:p/>
    <w:p/>
    <w:p>
      <w:pPr>
        <w:pStyle w:val="Heading3"/>
      </w:pPr>
      <w:r>
        <w:t>Conclusión y plan de acción</w:t>
      </w:r>
    </w:p>
    <w:p/>
    <w:p>
      <w:r>
        <w:t>IREN es una empresa fascinante que ha logrado algo difícil: construir un negocio rentable a nivel EBITDA (+$286M en 2025) combinando minería de Bitcoin con infraestructura de IA, con un crecimiento de revenue superior al 150% interanual. El potencial del escenario bull es real y los analistas lo reflejan en targets de hasta $125.</w:t>
      </w:r>
    </w:p>
    <w:p/>
    <w:p>
      <w:r>
        <w:t>**Sin embargo, a $44,94 el precio ya supera el valor intrínseco calculado en el escenario base.** Comprar aquí implica apostar directamente al escenario optimista, lo que requiere convicción en (1) Bitcoin sostenido en niveles altos, (2) éxito del pivot hacia IA cloud, y (3) ejecución impecable del equipo gestor.</w:t>
      </w:r>
    </w:p>
    <w:p/>
    <w:p>
      <w:r>
        <w:t>**Recomendación:**</w:t>
      </w:r>
    </w:p>
    <w:p>
      <w:pPr>
        <w:pStyle w:val="ListBullet"/>
      </w:pPr>
      <w:r>
        <w:t>**No iniciar posición a precios actuales** si se es un inversor value disciplinado.</w:t>
      </w:r>
    </w:p>
    <w:p>
      <w:pPr>
        <w:pStyle w:val="ListBullet"/>
      </w:pPr>
      <w:r>
        <w:t>**Zona de compra atractiva: $28–33**, donde el precio cotiza con margen de seguridad respecto al escenario base y ofrece asimetría interesante hacia el bull case.</w:t>
      </w:r>
    </w:p>
    <w:p>
      <w:pPr>
        <w:pStyle w:val="ListBullet"/>
      </w:pPr>
      <w:r>
        <w:t>**Para inversores con perfil especulativo y horizonte 2–3 años**, una posición pequeña ($44 o menos) puede justificarse como apuesta al pivote IA cloud, con stop loss conceptual si Bitcoin cae sostenidamente o si no hay noticias de contratos de IA en H1 2026.</w:t>
      </w:r>
    </w:p>
    <w:p/>
    <w:p>
      <w:r>
        <w:t>**En resumen: empresa de alta calidad en un sector de altísimo riesgo. Precio atractivo solo en correcciones significativas.**</w:t>
      </w:r>
    </w:p>
    <w:p/>
    <w:p/>
    <w:p>
      <w:r>
        <w:t>*Análisis generado el 17/03/2026. No es consejo de inversión. Rentabilidades pasadas no garantizan resultados futuros.*</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