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IVN.TO - Ivanhoe Mines Ltd.</w:t>
      </w:r>
    </w:p>
    <w:p/>
    <w:p>
      <w:pPr>
        <w:jc w:val="center"/>
      </w:pPr>
      <w:r>
        <w:rPr>
          <w:sz w:val="24"/>
        </w:rPr>
        <w:t>18 de March de 2026</w:t>
      </w:r>
    </w:p>
    <w:p>
      <w:r>
        <w:br w:type="page"/>
      </w:r>
    </w:p>
    <w:p>
      <w:pPr>
        <w:pStyle w:val="Heading1"/>
      </w:pPr>
      <w:r>
        <w:t>IVN.TO — Ivanhoe Mines Ltd. | COMPRA ESPECULATIVA</w:t>
      </w:r>
    </w:p>
    <w:p/>
    <w:p/>
    <w:p/>
    <w:p>
      <w:pPr>
        <w:pStyle w:val="Heading3"/>
      </w:pPr>
      <w:r>
        <w:t>Resumen ejecutivo</w:t>
      </w:r>
    </w:p>
    <w:p/>
    <w:p>
      <w:r>
        <w:t>Ivanhoe Mines cotiza a **C$11,59** frente a un precio objetivo base de **C$19,21** según el consenso de analistas, lo que implica un potencial de revalorización superior al **65%**. Nuestro modelo DCF arroja un rango de valoración de **C$8,40 (bear) a C$24,50 (bull)**, con un caso base de **C$16–18**, sugiriendo un margen de seguridad razonable aunque con volatilidad significativa. La recomendación es **compra especulativa** para inversores con tolerancia al riesgo geopolítico y horizonte mínimo de 3 años, aprovechando la corrección del 30%+ desde máximos recientes.</w:t>
      </w:r>
    </w:p>
    <w:p/>
    <w:p/>
    <w:p/>
    <w:p>
      <w:pPr>
        <w:pStyle w:val="Heading3"/>
      </w:pPr>
      <w:r>
        <w:t>El negocio</w:t>
      </w:r>
    </w:p>
    <w:p/>
    <w:p>
      <w:r>
        <w:t>Ivanhoe Mines es una minera canadiense con sede en Vancouver cuya operación se concentra íntegramente en **África**. Su cartera de activos es una de las más relevantes del sector minero global:</w:t>
      </w:r>
    </w:p>
    <w:p/>
    <w:p>
      <w:pPr>
        <w:pStyle w:val="ListBullet"/>
      </w:pPr>
      <w:r>
        <w:t>**Kamoa-Kakula Copper Complex (RDC):** El activo estrella. Considerado el yacimiento de cobre de mayor ley del mundo fuera de Chile. Está en plena expansión de capacidad de tratamiento, lo que explica el salto de ingresos de C$40,8M en 2024 a C$441,6M en 2025. Opera en joint venture con Zijin Mining (39,6%) e IVANHOE (39,6%).</w:t>
      </w:r>
    </w:p>
    <w:p/>
    <w:p>
      <w:pPr>
        <w:pStyle w:val="ListBullet"/>
      </w:pPr>
      <w:r>
        <w:t>**Kipushi (RDC):** Mina de zinc-germanio que reanudó operaciones en 2024 tras décadas de inactividad. El yacimiento contiene las mayores concentraciones de zinc del mundo.</w:t>
      </w:r>
    </w:p>
    <w:p/>
    <w:p>
      <w:pPr>
        <w:pStyle w:val="ListBullet"/>
      </w:pPr>
      <w:r>
        <w:t>**Platreef (Sudáfrica):** Proyecto PGM (platino, paladio, rodio) + níquel + cobre en el Complejo Bushveld. Aún en construcción de la Fase 1.</w:t>
      </w:r>
    </w:p>
    <w:p/>
    <w:p>
      <w:pPr>
        <w:pStyle w:val="ListBullet"/>
      </w:pPr>
      <w:r>
        <w:t>**Western Foreland (RDC):** 2.390 km² de exploración en el Copperbelt.</w:t>
      </w:r>
    </w:p>
    <w:p/>
    <w:p>
      <w:r>
        <w:t>**La ventaja competitiva (moat) de Ivanhoe** no reside en la escala operativa —todavía modesta— sino en la **calidad excepcional de sus reservas**: Kamoa-Kakula tiene leyes de cobre de ~6% en zonas de alto grado (más del doble del promedio global), lo que se traduce en costes de producción estructuralmente inferiores. El fundador Robert Friedland tiene un historial probado de descubrir y monetizar activos de clase mundial (Voisey's Bay, Oyu Tolgoi). La escasez de proyectos de cobre de esta magnitud a nivel global —en un contexto de demanda creciente por la electrificación— constituye una barrera de entrada casi insuperable.</w:t>
      </w:r>
    </w:p>
    <w:p/>
    <w:p/>
    <w:p/>
    <w:p>
      <w:pPr>
        <w:pStyle w:val="Heading3"/>
      </w:pPr>
      <w:r>
        <w:t>Análisis financiero</w:t>
      </w:r>
    </w:p>
    <w:p/>
    <w:p>
      <w:r>
        <w:t>La fotografía financiera de Ivanhoe es la de una empresa en **transición acelerada de proyecto a productor**, lo que hace que los datos históricos sean más indicativos de dirección que de tendencia estable.</w:t>
      </w:r>
    </w:p>
    <w:p/>
    <w:p>
      <w:r>
        <w:t>**Crecimiento de ingresos explosivo pero desde base baja:**</w:t>
      </w:r>
    </w:p>
    <w:p>
      <w:pPr>
        <w:pStyle w:val="ListBullet"/>
      </w:pPr>
      <w:r>
        <w:t>2024: C$40,8M → 2025: C$441,6M (+982%). Este incremento refleja fundamentalmente la consolidación progresiva de Kamoa-Kakula y el inicio de Kipushi, no una anomalía contable.</w:t>
      </w:r>
    </w:p>
    <w:p>
      <w:pPr>
        <w:pStyle w:val="ListBullet"/>
      </w:pPr>
      <w:r>
        <w:t>El crecimiento proyectado (+40% en el año 1 del modelo) puede parecer agresivo, pero parte de una rampa de producción documentada y en curso.</w:t>
      </w:r>
    </w:p>
    <w:p/>
    <w:p>
      <w:r>
        <w:t>**Márgenes distorsionados por la fase constructiva:**</w:t>
      </w:r>
    </w:p>
    <w:p>
      <w:pPr>
        <w:pStyle w:val="ListBullet"/>
      </w:pPr>
      <w:r>
        <w:t>El margen operativo es negativo (-21% en 2025) porque Ivanhoe consolida enormes gastos de construcción e I+D en la cuenta de resultados mientras las minas no han alcanzado plena capacidad.</w:t>
      </w:r>
    </w:p>
    <w:p>
      <w:pPr>
        <w:pStyle w:val="ListBullet"/>
      </w:pPr>
      <w:r>
        <w:t>El margen neto del +59% en 2025 incluye ganancias no recurrentes (revalorizaciones de activos, participaciones en asociadas). No debe tomarse como margen operativo sostenible.</w:t>
      </w:r>
    </w:p>
    <w:p>
      <w:pPr>
        <w:pStyle w:val="ListBullet"/>
      </w:pPr>
      <w:r>
        <w:t>**EBITDA 2025: C$324,6M** — este es el indicador más relevante como proxy de generación de caja operativa bruta.</w:t>
      </w:r>
    </w:p>
    <w:p>
      <w:pPr>
        <w:pStyle w:val="ListBullet"/>
      </w:pPr>
      <w:r>
        <w:t>Gross margin de apenas 3,8% refleja la etapa inicial: a plena capacidad en Kamoa, los márgenes brutos deberían escalar hacia el 40-50% dada la alta ley del yacimiento.</w:t>
      </w:r>
    </w:p>
    <w:p/>
    <w:p>
      <w:r>
        <w:t>**FCF negativo — el elefante en la habitación:**</w:t>
      </w:r>
    </w:p>
    <w:p>
      <w:pPr>
        <w:pStyle w:val="ListBullet"/>
      </w:pPr>
      <w:r>
        <w:t>FCF 2024: –C$644M | FCF 2025: –C$469M</w:t>
      </w:r>
    </w:p>
    <w:p>
      <w:pPr>
        <w:pStyle w:val="ListBullet"/>
      </w:pPr>
      <w:r>
        <w:t>El FCF negativo es estructural durante la fase de expansión (Kamoa Fase 3, Platreef Fase 1). Esto no es una señal de alarma en minería de desarrollo, pero sí requiere financiación continua.</w:t>
      </w:r>
    </w:p>
    <w:p>
      <w:pPr>
        <w:pStyle w:val="ListBullet"/>
      </w:pPr>
      <w:r>
        <w:t>La empresa mantiene C$764M en caja y C$1.267M en deuda, con un **equity de C$5.725M**. El ratio deuda neta/EBITDA está en torno a 1,5x —manejable pero no holgado.</w:t>
      </w:r>
    </w:p>
    <w:p/>
    <w:p>
      <w:r>
        <w:t>**Balance:**</w:t>
      </w:r>
    </w:p>
    <w:p>
      <w:pPr>
        <w:pStyle w:val="ListBullet"/>
      </w:pPr>
      <w:r>
        <w:t>Deuda neta: ~C$502M (deuda C$1.267M – caja C$764M)</w:t>
      </w:r>
    </w:p>
    <w:p>
      <w:pPr>
        <w:pStyle w:val="ListBullet"/>
      </w:pPr>
      <w:r>
        <w:t>La estructura financiera se apoya en líneas de crédito, streaming deals y la generación creciente de Kamoa. No hay riesgo de quiebra a corto plazo, pero las ampliaciones de capital no son descartables.</w:t>
      </w:r>
    </w:p>
    <w:p/>
    <w:p/>
    <w:p/>
    <w:p>
      <w:pPr>
        <w:pStyle w:val="Heading3"/>
      </w:pPr>
      <w:r>
        <w:t>Valoración DCF</w:t>
      </w:r>
    </w:p>
    <w:p/>
    <w:p>
      <w:r>
        <w:t>#### Metodología</w:t>
      </w:r>
    </w:p>
    <w:p/>
    <w:p>
      <w:r>
        <w:t>El modelo proyecta los **ingresos futuros** de Ivanhoe aplicando tasas de crecimiento diferenciadas por escenario (desde +28% bear hasta +52% bull en el año 1, convergiendo hacia tasas más sostenibles en el año 5). A esos ingresos se aplican los **márgenes históricos promedio** para estimar el EBIT y llegar al **Unlevered Free Cash Flow (UFCF)**.</w:t>
      </w:r>
    </w:p>
    <w:p/>
    <w:p>
      <w:r>
        <w:t>Un detalle crítico en el caso de Ivanhoe: la distinción entre **CapEx de mantenimiento** (≈ depreciación, lo que cuesta mantener los activos existentes) y **CapEx de crecimiento** (la expansión de Kamoa Fase 3-4, construcción de Platreef, etc.). En el modelo, solo se resta el CapEx de mantenimiento para calcular el UFCF, porque el crecimiento de ingresos proyectado ya captura el efecto de ese CapEx de expansión. En el caso de Ivanhoe, **esta distinción es especialmente relevante**: el CapEx total real supera con creces la depreciación (la empresa invierte C$700-900M/año en expansión), por lo que el modelo de valoración es inherentemente optimista respecto al FCF contable a corto plazo. El inversor debe entender que el valor se justifica por el **crecimiento futuro**, no por el FCF presente.</w:t>
      </w:r>
    </w:p>
    <w:p/>
    <w:p>
      <w:r>
        <w:t>El **Valor Terminal** se calcula mediante **múltiplo de salida sectorial** (no Gordon Growth), aplicando múltiplos de EBITDA típicos del sector minero de metales industriales. El **WACC** se calcula vía CAPM con la beta real de la compañía (1,768), reflejando la alta volatilidad del negocio minero en mercados emergentes.</w:t>
      </w:r>
    </w:p>
    <w:p/>
    <w:p>
      <w:r>
        <w:t>#### Supuestos clave y escenarios</w:t>
      </w:r>
    </w:p>
    <w:p/>
    <w:p>
      <w:r>
        <w:t>| Parámetro | Bear | Base | Bull |</w:t>
      </w:r>
    </w:p>
    <w:p>
      <w:r>
        <w:t>|---|---|---|---|</w:t>
      </w:r>
    </w:p>
    <w:p>
      <w:r>
        <w:t>| Crecimiento revenue Año 1 | +28% | +40% | +52% |</w:t>
      </w:r>
    </w:p>
    <w:p>
      <w:r>
        <w:t>| Crecimiento revenue Año 5 | +16,8% | +24% | +31,2% |</w:t>
      </w:r>
    </w:p>
    <w:p>
      <w:r>
        <w:t>| Margen bruto aplicado | 10% | 10% | 10% |</w:t>
      </w:r>
    </w:p>
    <w:p>
      <w:r>
        <w:t>| WACC | 15,49% | 13,49% | 12,49% |</w:t>
      </w:r>
    </w:p>
    <w:p>
      <w:r>
        <w:t>| Múltiplo terminal (EV/EBITDA) | 9x | 12x | 14x |</w:t>
      </w:r>
    </w:p>
    <w:p/>
    <w:p>
      <w:r>
        <w:t>*Nota: El margen bruto del 10% en todos los escenarios es conservador respecto al potencial de Kamoa a plena capacidad, pero prudente dado el estadio actual de la empresa.*</w:t>
      </w:r>
    </w:p>
    <w:p/>
    <w:p>
      <w:r>
        <w:t>**Precio objetivo implícito:**</w:t>
      </w:r>
    </w:p>
    <w:p>
      <w:pPr>
        <w:pStyle w:val="ListBullet"/>
      </w:pPr>
      <w:r>
        <w:t>🐻 **Escenario bajista:** ~C$8,40 — por debajo del precio actual. Implicaría problemas operativos en Kamoa, caída sostenida del cobre, o eventos geopolíticos severos.</w:t>
      </w:r>
    </w:p>
    <w:p>
      <w:pPr>
        <w:pStyle w:val="ListBullet"/>
      </w:pPr>
      <w:r>
        <w:t>📊 **Escenario base:** ~C$16–18 — upside del **38–55%** desde precios actuales.</w:t>
      </w:r>
    </w:p>
    <w:p>
      <w:pPr>
        <w:pStyle w:val="ListBullet"/>
      </w:pPr>
      <w:r>
        <w:t>🐂 **Escenario alcista:** ~C$22–25 — upside del **90–115%**. Consistente con el target alto de analistas (C$24).</w:t>
      </w:r>
    </w:p>
    <w:p/>
    <w:p>
      <w:r>
        <w:t>El precio objetivo razonable se sitúa en **C$16-18 (caso base)**, lo que implica que el mercado está descontando un escenario casi bajista en las valoraciones actuales, probablemente por la incertidumbre geopolítica en RDC y la caída reciente del precio del cobre.</w:t>
      </w:r>
    </w:p>
    <w:p/>
    <w:p/>
    <w:p/>
    <w:p>
      <w:pPr>
        <w:pStyle w:val="Heading3"/>
      </w:pPr>
      <w:r>
        <w:t>Riesgos principales</w:t>
      </w:r>
    </w:p>
    <w:p/>
    <w:p>
      <w:r>
        <w:t>1. **Riesgo geopolítico en la RDC (CRÍTICO):** La República Democrática del Congo alberga el 80%+ del valor de Ivanhoe. El país tiene un historial de inestabilidad política, revisiones fiscales mineras, y conflictos armados (la región de Kivu). Un cambio en el régimen de regalías o una nacionalización parcial destruiría valor de forma severa. Este es el riesgo no diversificable más importante de la tesis.</w:t>
      </w:r>
    </w:p>
    <w:p/>
    <w:p>
      <w:r>
        <w:t>2. **Precio del cobre y ciclo de commodities:** El 70%+ del valor de Ivanhoe depende del cobre. Una recesión global, desaceleración china, o sustitución tecnológica podría deprimir los precios durante años. A C$4/lb de cobre, la tesis se deteriora notablemente. A C$5+/lb (escenario de electrificación acelerada), la tesis se refuerza extraordinariamente.</w:t>
      </w:r>
    </w:p>
    <w:p/>
    <w:p>
      <w:r>
        <w:t>3. **Necesidades de financiación y dilución:** Con FCF negativo y proyectos de capital intensivo pendientes (Platreef especialmente), Ivanhoe puede verse obligada a emitir acciones o aumentar deuda en condiciones desfavorables, diluyendo a los accionistas actuales.</w:t>
      </w:r>
    </w:p>
    <w:p/>
    <w:p>
      <w:r>
        <w:t>4. **Riesgo de ejecución en los proyectos:** Retrasos en Kamoa Fase 3 o Platreef (habituales en megaproyectos mineros), sobrecostes, o problemas técnicos podrían diferir significativamente la generación de flujos de caja y deteriorar el perfil de deuda.</w:t>
      </w:r>
    </w:p>
    <w:p/>
    <w:p/>
    <w:p/>
    <w:p>
      <w:pPr>
        <w:pStyle w:val="Heading3"/>
      </w:pPr>
      <w:r>
        <w:t>Catalizadores</w:t>
      </w:r>
    </w:p>
    <w:p/>
    <w:p>
      <w:r>
        <w:t>**Al alza (12-24 meses):**</w:t>
      </w:r>
    </w:p>
    <w:p>
      <w:pPr>
        <w:pStyle w:val="ListBullet"/>
      </w:pPr>
      <w:r>
        <w:t>📈 **Rampa de producción Kamoa Fase 3:** Cada aumento de capacidad de tratamiento es directamente traducible en más ingresos. Si la producción anualizada supera 600.000 t de cobre equivalente, el mercado revalorizará significativamente.</w:t>
      </w:r>
    </w:p>
    <w:p>
      <w:pPr>
        <w:pStyle w:val="ListBullet"/>
      </w:pPr>
      <w:r>
        <w:t>🔋 **Rally del precio del cobre:** La narrativa de electrificación (vehículos eléctricos, redes, data centers de IA) crea un piso estructural para la demanda. Un cobre por encima de C$5/lb dispararía los márgenes.</w:t>
      </w:r>
    </w:p>
    <w:p>
      <w:pPr>
        <w:pStyle w:val="ListBullet"/>
      </w:pPr>
      <w:r>
        <w:t>🏗️ **Inicio de producción Platreef:** La puesta en marcha de la Fase 1 de Platreef añadiría un nuevo flujo de ingresos en PGMs, diversificando la exposición.</w:t>
      </w:r>
    </w:p>
    <w:p>
      <w:pPr>
        <w:pStyle w:val="ListBullet"/>
      </w:pPr>
      <w:r>
        <w:t>🤝 **Acuerdos de streaming o venta de participaciones:** Ivanhoe podría monetizar parte de sus activos para financiar crecimiento sin dilución.</w:t>
      </w:r>
    </w:p>
    <w:p/>
    <w:p>
      <w:r>
        <w:t>**A la baja:**</w:t>
      </w:r>
    </w:p>
    <w:p>
      <w:pPr>
        <w:pStyle w:val="ListBullet"/>
      </w:pPr>
      <w:r>
        <w:t>⚠️ Escalada del conflicto en el este de RDC que afecte operaciones en Kamoa o Kipushi.</w:t>
      </w:r>
    </w:p>
    <w:p>
      <w:pPr>
        <w:pStyle w:val="ListBullet"/>
      </w:pPr>
      <w:r>
        <w:t>📉 Recesión global que deprima el cobre por debajo de C$3,50/lb.</w:t>
      </w:r>
    </w:p>
    <w:p>
      <w:pPr>
        <w:pStyle w:val="ListBullet"/>
      </w:pPr>
      <w:r>
        <w:t>💸 Ampliación de capital inesperada a precios bajos.</w:t>
      </w:r>
    </w:p>
    <w:p/>
    <w:p/>
    <w:p/>
    <w:p>
      <w:pPr>
        <w:pStyle w:val="Heading3"/>
      </w:pPr>
      <w:r>
        <w:t>Conclusión y plan de acción</w:t>
      </w:r>
    </w:p>
    <w:p/>
    <w:p>
      <w:r>
        <w:t>Ivanhoe Mines es una de las pocas mineras del mundo con acceso a activos de **calidad genuinamente de clase mundial**. Kamoa-Kakula es, por ley y escala, un proyecto que define una generación. La historia de valor es real —el problema es que también lo son los riesgos.</w:t>
      </w:r>
    </w:p>
    <w:p/>
    <w:p>
      <w:r>
        <w:t>**A C$11,59, la acción descuenta un escenario casi bajista**, lo que crea una asimetría interesante para el inversor que pueda asumir el riesgo geopolítico. El consenso de analistas (precio medio C$19,21) y nuestro caso base (C$16-18) sugieren un potencial del **38-65%** en los próximos 12-24 meses.</w:t>
      </w:r>
    </w:p>
    <w:p/>
    <w:p>
      <w:r>
        <w:t>**Recomendación: COMPRA ESPECULATIVA**</w:t>
      </w:r>
    </w:p>
    <w:p/>
    <w:p>
      <w:pPr>
        <w:pStyle w:val="ListBullet"/>
      </w:pPr>
      <w:r>
        <w:t>✅ **Comprar** con una posición inicial del 2-4% de la cartera en el rango **C$10-12**, aprovechando la corrección actual.</w:t>
      </w:r>
    </w:p>
    <w:p>
      <w:pPr>
        <w:pStyle w:val="ListBullet"/>
      </w:pPr>
      <w:r>
        <w:t>➕ **Incrementar** posición si el precio cae a **C$9-10** (el mercado estaría descontando el peor escenario geopolítico posible).</w:t>
      </w:r>
    </w:p>
    <w:p>
      <w:pPr>
        <w:pStyle w:val="ListBullet"/>
      </w:pPr>
      <w:r>
        <w:t>🚫 **Stop loss mental** (no mecánico) si se producen cambios regulatorios severos en RDC o si el precio del cobre cae por debajo de C$3/lb de forma sostenida.</w:t>
      </w:r>
    </w:p>
    <w:p>
      <w:pPr>
        <w:pStyle w:val="ListBullet"/>
      </w:pPr>
      <w:r>
        <w:t>🎯 **Precio objetivo de toma de parcial beneficio:** C$18-20 (caso base) y C$22+ (caso optimista).</w:t>
      </w:r>
    </w:p>
    <w:p/>
    <w:p>
      <w:r>
        <w:t>Esta no es una inversión para carteras conservadoras. Es una apuesta con perfil riesgo/retorno asimétrico para el inversor que entiende la narrativa del cobre en la transición energética y acepta la prima de riesgo africana como parte del precio de entrada.</w:t>
      </w:r>
    </w:p>
    <w:p/>
    <w:p/>
    <w:p/>
    <w:p>
      <w:r>
        <w:t>*Análisis generado el 18/03/2026. No es consejo de inversión. El inversor debe realizar su propia diligencia debida antes de tomar decisiones de inversión.*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