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MA - Mastercard Incorporated</w:t>
      </w:r>
    </w:p>
    <w:p/>
    <w:p>
      <w:pPr>
        <w:jc w:val="center"/>
      </w:pPr>
      <w:r>
        <w:rPr>
          <w:sz w:val="24"/>
        </w:rPr>
        <w:t>17 de March de 2026</w:t>
      </w:r>
    </w:p>
    <w:p>
      <w:r>
        <w:br w:type="page"/>
      </w:r>
    </w:p>
    <w:p>
      <w:pPr>
        <w:pStyle w:val="Heading2"/>
      </w:pPr>
      <w:r>
        <w:t>MA — Mastercard Incorporated | 🟡 MANTENER / ACUMULAR EN CORRECCIONES</w:t>
      </w:r>
    </w:p>
    <w:p/>
    <w:p/>
    <w:p/>
    <w:p>
      <w:pPr>
        <w:pStyle w:val="Heading3"/>
      </w:pPr>
      <w:r>
        <w:t>Resumen ejecutivo</w:t>
      </w:r>
    </w:p>
    <w:p/>
    <w:p>
      <w:r>
        <w:t>Mastercard cotiza a **$508,68** por acción con una capitalización bursátil de ~$454.000M. Nuestro modelo DCF arroja un **precio objetivo base de ~$630**, lo que implica un **margen de seguridad del 24%** respecto al precio actual. A pesar de que el consenso de analistas apunta a una media de $662 (máximo $739), la acción no está claramente barata a los precios actuales, pero sí ofrece valor razonable para un inversor a largo plazo dado el extraordinario perfil de calidad del negocio. **Recomendamos mantener posiciones existentes y acumular en correcciones por debajo de $490.**</w:t>
      </w:r>
    </w:p>
    <w:p/>
    <w:p/>
    <w:p/>
    <w:p>
      <w:pPr>
        <w:pStyle w:val="Heading3"/>
      </w:pPr>
      <w:r>
        <w:t>El negocio</w:t>
      </w:r>
    </w:p>
    <w:p/>
    <w:p>
      <w:r>
        <w:t>Mastercard es, en esencia, un **negocio de peajes digitales sobre el flujo global de dinero**. Fundada en 1966 y con sede en Purchase (Nueva York), la compañía opera una red de procesamiento de transacciones de pagos que conecta a más de 3.000 millones de tarjetahabientes con decenas de millones de comercios en más de 210 países.</w:t>
      </w:r>
    </w:p>
    <w:p/>
    <w:p>
      <w:r>
        <w:t>Su modelo es notablemente elegante: **Mastercard no presta dinero ni asume riesgo crediticio** (ese riesgo lo absorben los bancos emisores). Simplemente cobra una fracción de cada transacción que fluye por su red — una autopista de bits que cobra peaje independientemente de quién gane la partida crediticia.</w:t>
      </w:r>
    </w:p>
    <w:p/>
    <w:p>
      <w:r>
        <w:t>**El moat es de los más sólidos del mercado global:**</w:t>
      </w:r>
    </w:p>
    <w:p/>
    <w:p>
      <w:pPr>
        <w:pStyle w:val="ListBullet"/>
      </w:pPr>
      <w:r>
        <w:t>**Efecto de red bilateral**: Más tarjetahabientes atraen más comercios, y más comercios atraen más tarjetahabientes. Este círculo virtuoso lleva décadas construyéndose.</w:t>
      </w:r>
    </w:p>
    <w:p>
      <w:pPr>
        <w:pStyle w:val="ListBullet"/>
      </w:pPr>
      <w:r>
        <w:t>**Costes de cambio estratosféricos**: Bancos, gobiernos, fintechs y comercios han construido infraestructura, procesos y relaciones sobre la red MA. Migrar es técnicamente posible pero económicamente doloroso.</w:t>
      </w:r>
    </w:p>
    <w:p>
      <w:pPr>
        <w:pStyle w:val="ListBullet"/>
      </w:pPr>
      <w:r>
        <w:t>**Marca y confianza**: Mastercard, Maestro y Cirrus son reconocidas globalmente. En mercados emergentes, la marca actúa como garantía de aceptación.</w:t>
      </w:r>
    </w:p>
    <w:p>
      <w:pPr>
        <w:pStyle w:val="ListBullet"/>
      </w:pPr>
      <w:r>
        <w:t>**Ventaja regulatoria de facto**: Las barreras de entrada para crear una red de pagos global competitiva son prácticamente insuperables (capital, relaciones institucionales, cumplimiento normativo, confianza del ecosistema).</w:t>
      </w:r>
    </w:p>
    <w:p/>
    <w:p>
      <w:r>
        <w:t>Más allá del procesamiento de transacciones, Mastercard ha expandido agresivamente sus **servicios de valor añadido**: ciberseguridad, analítica avanzada con IA, soluciones B2B (pagos entre empresas), Mastercard Move (transferencias P2P y cross-border) y ahora, con la adquisición de BVNK por $1.800M, la infraestructura de **stablecoins y pagos cripto**.</w:t>
      </w:r>
    </w:p>
    <w:p/>
    <w:p/>
    <w:p/>
    <w:p>
      <w:pPr>
        <w:pStyle w:val="Heading3"/>
      </w:pPr>
      <w:r>
        <w:t>Análisis financiero</w:t>
      </w:r>
    </w:p>
    <w:p/>
    <w:p>
      <w:r>
        <w:t>Los números de Mastercard son, sencillamente, los de un negocio excepcional:</w:t>
      </w:r>
    </w:p>
    <w:p/>
    <w:p>
      <w:r>
        <w:t>**Crecimiento de ingresos consistente y acelerado:**</w:t>
      </w:r>
    </w:p>
    <w:p/>
    <w:p>
      <w:r>
        <w:t>| Año | Revenue | Crecimiento YoY |</w:t>
      </w:r>
    </w:p>
    <w:p>
      <w:r>
        <w:t>|-----|---------|-----------------|</w:t>
      </w:r>
    </w:p>
    <w:p>
      <w:r>
        <w:t>| 2022 | $22.237M | — |</w:t>
      </w:r>
    </w:p>
    <w:p>
      <w:r>
        <w:t>| 2023 | $25.098M | +12,9% |</w:t>
      </w:r>
    </w:p>
    <w:p>
      <w:r>
        <w:t>| 2024 | $28.167M | +12,2% |</w:t>
      </w:r>
    </w:p>
    <w:p>
      <w:r>
        <w:t>| 2025 | $32.791M | +16,4% |</w:t>
      </w:r>
    </w:p>
    <w:p/>
    <w:p>
      <w:r>
        <w:t>El salto de 2024 a 2025 (+$4.600M, +16,4%) refleja la recuperación sostenida del volumen de transacciones globales, expansión en mercados emergentes y la monetización creciente de servicios adicionales más allá del procesamiento puro.</w:t>
      </w:r>
    </w:p>
    <w:p/>
    <w:p>
      <w:r>
        <w:t>**Márgenes de clase mundial:**</w:t>
      </w:r>
    </w:p>
    <w:p>
      <w:pPr>
        <w:pStyle w:val="ListBullet"/>
      </w:pPr>
      <w:r>
        <w:t>**Margen bruto**: 77,9% — extraordinario, propio de un negocio de software/plataforma</w:t>
      </w:r>
    </w:p>
    <w:p>
      <w:pPr>
        <w:pStyle w:val="ListBullet"/>
      </w:pPr>
      <w:r>
        <w:t>**Margen operativo**: 59,5% — uno de los más altos del S&amp;P 500</w:t>
      </w:r>
    </w:p>
    <w:p>
      <w:pPr>
        <w:pStyle w:val="ListBullet"/>
      </w:pPr>
      <w:r>
        <w:t>**Margen neto**: 45,6% — prácticamente la mitad de cada dólar de ingreso se convierte en beneficio neto</w:t>
      </w:r>
    </w:p>
    <w:p>
      <w:pPr>
        <w:pStyle w:val="ListBullet"/>
      </w:pPr>
      <w:r>
        <w:t>**EBITDA 2025**: $20.443M (+21,7% vs 2024)</w:t>
      </w:r>
    </w:p>
    <w:p/>
    <w:p>
      <w:r>
        <w:t>**Free Cash Flow robusto y en expansión:**</w:t>
      </w:r>
    </w:p>
    <w:p>
      <w:pPr>
        <w:pStyle w:val="ListBullet"/>
      </w:pPr>
      <w:r>
        <w:t>FCF 2022: $10.098M → FCF 2025: $16.433M</w:t>
      </w:r>
    </w:p>
    <w:p>
      <w:pPr>
        <w:pStyle w:val="ListBullet"/>
      </w:pPr>
      <w:r>
        <w:t>**CAGR FCF 2022-2025: +17,6%**</w:t>
      </w:r>
    </w:p>
    <w:p>
      <w:pPr>
        <w:pStyle w:val="ListBullet"/>
      </w:pPr>
      <w:r>
        <w:t>El FCF yield sobre market cap es aproximadamente **3,6%**, bajo en términos absolutos pero coherente con negocios de esta calidad y crecimiento</w:t>
      </w:r>
    </w:p>
    <w:p/>
    <w:p>
      <w:r>
        <w:t>**Balance:** La estructura de capital merece atención. Con $19.000M de deuda total y solo $10.566M de caja, la **deuda neta es de ~$8.434M**. Sin embargo, con un EBITDA de $20.443M, el ratio Deuda Neta/EBITDA es de apenas **0,4x** — esencialmente ningún estrés financiero. El patrimonio neto de $7.746M es reducido porque Mastercard devuelve agresivamente capital a accionistas vía recompras y dividendos (la empresa ha reducido su share count de forma consistente).</w:t>
      </w:r>
    </w:p>
    <w:p/>
    <w:p/>
    <w:p/>
    <w:p>
      <w:pPr>
        <w:pStyle w:val="Heading3"/>
      </w:pPr>
      <w:r>
        <w:t>Valoración DCF</w:t>
      </w:r>
    </w:p>
    <w:p/>
    <w:p>
      <w:r>
        <w:t>**Metodología aplicada:**</w:t>
      </w:r>
    </w:p>
    <w:p/>
    <w:p>
      <w:r>
        <w:t>El modelo proyecta los ingresos de Mastercard durante 5 años y aplica los márgenes históricos promedio (bruto, SGA, I+D, D&amp;A, tasa impositiva efectiva) para construir el Unlevered Free Cash Flow (UFCF). Un punto crítico en Mastercard: la empresa **prácticamente no tiene CapEx físico significativo** — es un negocio de tecnología y red, no de activos fijos. El CapEx de mantenimiento es aproximadamente igual a la depreciación anual (~$600-700M), mientras que las inversiones en crecimiento se expresan principalmente como **adquisiciones y gasto en I+D expensado** (que ya está reflejado en los márgenes operativos). Por tanto, el ajuste mantenimiento vs. growth CapEx no distorsiona materialmente el modelo en este caso. El **Valor Terminal** se calcula mediante un múltiplo de salida sobre EBITDA terminal, calibrado por sector (Financial Services/Payments Technology), no mediante Gordon Growth. El WACC se calcula via CAPM real con beta de 0,836.</w:t>
      </w:r>
    </w:p>
    <w:p/>
    <w:p>
      <w:r>
        <w:t>**Escenario Conservador (Bear):**</w:t>
      </w:r>
    </w:p>
    <w:p>
      <w:pPr>
        <w:pStyle w:val="ListBullet"/>
      </w:pPr>
      <w:r>
        <w:t>Crecimiento Y1: +12,3% → desacelerando hasta +7,4% en año 5</w:t>
      </w:r>
    </w:p>
    <w:p>
      <w:pPr>
        <w:pStyle w:val="ListBullet"/>
      </w:pPr>
      <w:r>
        <w:t>Margen bruto: 74,6% (compresión de ~330 bps vs. histórico)</w:t>
      </w:r>
    </w:p>
    <w:p>
      <w:pPr>
        <w:pStyle w:val="ListBullet"/>
      </w:pPr>
      <w:r>
        <w:t>WACC: 10,88% (+2pp sobre base)</w:t>
      </w:r>
    </w:p>
    <w:p>
      <w:pPr>
        <w:pStyle w:val="ListBullet"/>
      </w:pPr>
      <w:r>
        <w:t>Múltiplo terminal EBITDA: 8x</w:t>
      </w:r>
    </w:p>
    <w:p>
      <w:pPr>
        <w:pStyle w:val="ListBullet"/>
      </w:pPr>
      <w:r>
        <w:t>**Precio objetivo: ~$370** — implica caída del 27%</w:t>
      </w:r>
    </w:p>
    <w:p/>
    <w:p>
      <w:r>
        <w:t>Este escenario requiere una combinación de desaceleración macroeconómica severa (caída del gasto del consumidor global), presión regulatoria significativa (como podría suceder con la apelación del caso UK de comisiones a comercios) y pérdida de cuota frente a competidores/crypto nativo.</w:t>
      </w:r>
    </w:p>
    <w:p/>
    <w:p>
      <w:r>
        <w:t>**Escenario Base:**</w:t>
      </w:r>
    </w:p>
    <w:p>
      <w:pPr>
        <w:pStyle w:val="ListBullet"/>
      </w:pPr>
      <w:r>
        <w:t>Crecimiento Y1: +17,6% → desacelerando hasta +10,6% en año 5</w:t>
      </w:r>
    </w:p>
    <w:p>
      <w:pPr>
        <w:pStyle w:val="ListBullet"/>
      </w:pPr>
      <w:r>
        <w:t>Margen bruto: 76,6% (en línea con promedios históricos)</w:t>
      </w:r>
    </w:p>
    <w:p>
      <w:pPr>
        <w:pStyle w:val="ListBullet"/>
      </w:pPr>
      <w:r>
        <w:t>WACC: 8,88%</w:t>
      </w:r>
    </w:p>
    <w:p>
      <w:pPr>
        <w:pStyle w:val="ListBullet"/>
      </w:pPr>
      <w:r>
        <w:t>Múltiplo terminal EBITDA: 11x</w:t>
      </w:r>
    </w:p>
    <w:p>
      <w:pPr>
        <w:pStyle w:val="ListBullet"/>
      </w:pPr>
      <w:r>
        <w:t>**Precio objetivo: ~$630** — upside del 24%</w:t>
      </w:r>
    </w:p>
    <w:p/>
    <w:p>
      <w:r>
        <w:t>El múltiplo de 11x EBITDA terminal es razonable para un negocio de payments technology de esta calidad; Mastercard históricamente ha cotizado a múltiplos superiores, pero la normalización de tipos justifica algo de compresión.</w:t>
      </w:r>
    </w:p>
    <w:p/>
    <w:p>
      <w:r>
        <w:t>**Escenario Optimista (Bull):**</w:t>
      </w:r>
    </w:p>
    <w:p>
      <w:pPr>
        <w:pStyle w:val="ListBullet"/>
      </w:pPr>
      <w:r>
        <w:t>Crecimiento Y1: +22,9% → desacelerando hasta +13,7% en año 5</w:t>
      </w:r>
    </w:p>
    <w:p>
      <w:pPr>
        <w:pStyle w:val="ListBullet"/>
      </w:pPr>
      <w:r>
        <w:t>Margen bruto: 78,6% (expansión moderada)</w:t>
      </w:r>
    </w:p>
    <w:p>
      <w:pPr>
        <w:pStyle w:val="ListBullet"/>
      </w:pPr>
      <w:r>
        <w:t>WACC: 7,88% (-1pp sobre base)</w:t>
      </w:r>
    </w:p>
    <w:p>
      <w:pPr>
        <w:pStyle w:val="ListBullet"/>
      </w:pPr>
      <w:r>
        <w:t>Múltiplo terminal EBITDA: 13x</w:t>
      </w:r>
    </w:p>
    <w:p>
      <w:pPr>
        <w:pStyle w:val="ListBullet"/>
      </w:pPr>
      <w:r>
        <w:t>**Precio objetivo: ~$900+** — upside del 77%</w:t>
      </w:r>
    </w:p>
    <w:p/>
    <w:p>
      <w:r>
        <w:t>El escenario bull captura la penetración acelerada de pagos digitales en mercados emergentes, éxito de nuevos servicios (stablecoins via BVNK, B2B payments, IA), expansión de márgenes por apalancamiento operativo y un entorno de tipos más favorables.</w:t>
      </w:r>
    </w:p>
    <w:p/>
    <w:p>
      <w:r>
        <w:t>**¿Por qué ~$630 es razonable?** A ese precio, Mastercard cotizaría a un FCF yield de ~2,6% sobre FCF 2025, o a ~28x FCF forward (asumiendo crecimiento al 10%). Para un negocio con moat prácticamente impenetrable, crecimiento estructural secular y márgenes de más del 45% neto, ese múltiplo es defendible pero no barato.</w:t>
      </w:r>
    </w:p>
    <w:p/>
    <w:p/>
    <w:p/>
    <w:p>
      <w:pPr>
        <w:pStyle w:val="Heading3"/>
      </w:pPr>
      <w:r>
        <w:t>Riesgos principales</w:t>
      </w:r>
    </w:p>
    <w:p/>
    <w:p>
      <w:r>
        <w:t>1. **Presión regulatoria sobre comisiones (interchange fees):** El caso UK — donde Mastercard y Visa han ganado el derecho a apelar una resolución que declara ilegales ciertas comisiones a comerciantes — es el riesgo más inmediato y material. Si se extiende a Europa o EE.UU., podría erosionar estructuralmente los márgenes. El Durbin Amendment en EE.UU. ya limitó las tasas de débito; una extensión al crédito sería un shock severo.</w:t>
      </w:r>
    </w:p>
    <w:p/>
    <w:p>
      <w:r>
        <w:t>2. **Disrupción por pagos alternativos:** Stablecoins, CBDCs (monedas digitales de banco central), sistemas de pago en tiempo real tipo FedNow/PIX/UPI, y esquemas alternativos regionales (Alipay, WeChat Pay, sistemas nacionales europeos) representan amenazas estructurales a largo plazo. Irónicamente, la adquisición de BVNK es también una respuesta a este riesgo.</w:t>
      </w:r>
    </w:p>
    <w:p/>
    <w:p>
      <w:r>
        <w:t>3. **Desaceleración macroeconómica global:** El modelo de negocio de Mastercard es esencialmente pro-cíclico — sus ingresos crecen cuando el consumo y el comercio global crecen. Una recesión global, especialmente combinada con debilidad en economías emergentes (donde MA tiene mayor exposición al crecimiento futuro), comprimiría tanto el volumen de transacciones como el crecimiento de revenue.</w:t>
      </w:r>
    </w:p>
    <w:p/>
    <w:p>
      <w:r>
        <w:t>4. **Riesgo de integración y sobrecoste en M&amp;A (BVNK):** Pagar $1.800M por una startup de stablecoins es una apuesta estratégica, pero el track record de grandes corporaciones integrando fintechs cripto no es siempre exitoso. Si BVNK no genera el retorno esperado, habrá destrucción de valor en la asignación de capital.</w:t>
      </w:r>
    </w:p>
    <w:p/>
    <w:p/>
    <w:p/>
    <w:p>
      <w:pPr>
        <w:pStyle w:val="Heading3"/>
      </w:pPr>
      <w:r>
        <w:t>Catalizadores</w:t>
      </w:r>
    </w:p>
    <w:p/>
    <w:p>
      <w:r>
        <w:t>**Alcistas (upside):**</w:t>
      </w:r>
    </w:p>
    <w:p>
      <w:pPr>
        <w:pStyle w:val="ListBullet"/>
      </w:pPr>
      <w:r>
        <w:t>✅ **Adquisición de BVNK:** Si la integración es exitosa y Mastercard logra posicionarse como infraestructura crítica para pagos con stablecoins, podría desbloquear un mercado completamente nuevo con márgenes superiores al negocio tradicional. El anuncio del 17/03/2026 es el catalizador más fresco.</w:t>
      </w:r>
    </w:p>
    <w:p>
      <w:pPr>
        <w:pStyle w:val="ListBullet"/>
      </w:pPr>
      <w:r>
        <w:t>✅ **Penetración en mercados emergentes:** Asia-Pacífico, África y Latinoamérica siguen teniendo tasas altísimas de pagos en efectivo. La conversión al digital (especialmente en móvil) es una ola secular que beneficia directamente a Mastercard.</w:t>
      </w:r>
    </w:p>
    <w:p>
      <w:pPr>
        <w:pStyle w:val="ListBullet"/>
      </w:pPr>
      <w:r>
        <w:t>✅ **Expansión B2B payments:** El mercado de pagos entre empresas (estimado en billones de dólares, mayormente aún en cheque y transferencia bancaria) es la próxima gran frontera de monetización.</w:t>
      </w:r>
    </w:p>
    <w:p>
      <w:pPr>
        <w:pStyle w:val="ListBullet"/>
      </w:pPr>
      <w:r>
        <w:t>✅ **Recompra de acciones acelerada:** Con $16.433M de FCF y balance sólido, la directiva puede continuar reduciendo el share count, lo que impulsa el EPS aunque el negocio crezca orgánicamente.</w:t>
      </w:r>
    </w:p>
    <w:p/>
    <w:p>
      <w:r>
        <w:t>**Bajistas (downside):**</w:t>
      </w:r>
    </w:p>
    <w:p>
      <w:pPr>
        <w:pStyle w:val="ListBullet"/>
      </w:pPr>
      <w:r>
        <w:t>⚠️ **Resolución adversa en apelación UK:** Si el tribunal europeo confirma que las comisiones violan la competencia, el contagio regulatorio podría ser global.</w:t>
      </w:r>
    </w:p>
    <w:p>
      <w:pPr>
        <w:pStyle w:val="ListBullet"/>
      </w:pPr>
      <w:r>
        <w:t>⚠️ **Expansión de tipos de interés:** Un entorno de tipos altos prolongado encarece el WACC y comprime los múltiplos de valoración en activos de larga duración como MA.</w:t>
      </w:r>
    </w:p>
    <w:p>
      <w:pPr>
        <w:pStyle w:val="ListBullet"/>
      </w:pPr>
      <w:r>
        <w:t>⚠️ **Macro deterioration:** Señales de desaceleración en gasto del consumidor en EE.UU. o Europa impactarían en el volumen de transacciones en los próximos 2-4 trimestres.</w:t>
      </w:r>
    </w:p>
    <w:p/>
    <w:p/>
    <w:p/>
    <w:p>
      <w:pPr>
        <w:pStyle w:val="Heading3"/>
      </w:pPr>
      <w:r>
        <w:t>Conclusión y plan de acción</w:t>
      </w:r>
    </w:p>
    <w:p/>
    <w:p>
      <w:r>
        <w:t>Mastercard es uno de los negocios de mayor calidad del planeta. Su modelo de "peaje sobre el dinero global" genera márgenes netos del 45%, FCF de $16.400M anuales y crece a doble dígito de forma consistente sin necesitar apenas capital físico. El moat es duradero y la expansión hacia stablecoins, B2B y mercados emergentes ofrece décadas de pista de crecimiento.</w:t>
      </w:r>
    </w:p>
    <w:p/>
    <w:p>
      <w:r>
        <w:t>**El problema es el precio.** A $508,68, el mercado ya descuenta mucho de esta excelencia. Nuestro escenario base arroja $630 (+24%), un upside real pero no suficiente para justificar una posición nueva de máxima convicción cuando el escenario bear implica $370 (-27%). La asimetría no es lo suficientemente favorable como para ser agresivo a precios actuales.</w:t>
      </w:r>
    </w:p>
    <w:p/>
    <w:p>
      <w:r>
        <w:t>**Plan de acción concreto:**</w:t>
      </w:r>
    </w:p>
    <w:p/>
    <w:p>
      <w:r>
        <w:t>| Situación | Acción |</w:t>
      </w:r>
    </w:p>
    <w:p>
      <w:r>
        <w:t>|-----------|--------|</w:t>
      </w:r>
    </w:p>
    <w:p>
      <w:r>
        <w:t>| Posición existente | **Mantener.** No vender un negocio de esta calidad sin necesidad. |</w:t>
      </w:r>
    </w:p>
    <w:p>
      <w:r>
        <w:t>| Sin posición, precio &gt; $510 | **Esperar.** Construir lista de seguimiento y definir nivel de entrada. |</w:t>
      </w:r>
    </w:p>
    <w:p>
      <w:r>
        <w:t>| Sin posición, precio $450-490 | **Comenzar a acumular** (25-50% de la posición objetivo). |</w:t>
      </w:r>
    </w:p>
    <w:p>
      <w:r>
        <w:t>| Sin posición, precio &lt; $450 | **Acumular con convicción** — margen de seguridad atractivo vs. escenario base. |</w:t>
      </w:r>
    </w:p>
    <w:p/>
    <w:p>
      <w:r>
        <w:t>**Precio objetivo base: $630 | Precio de entrada óptimo: &lt;$490 | Stop conceptual: deterioro estructural del moat o cambio regulatorio sistémico.**</w:t>
      </w:r>
    </w:p>
    <w:p/>
    <w:p/>
    <w:p/>
    <w:p>
      <w:r>
        <w:t>*Análisis generado el 17/03/2026. No es consejo de inversión. El análisis se basa en datos públicos y modelos de valoración propios sujetos a error. Consulte con un asesor financiero antes de tomar decisiones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