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MSFT - Microsoft Corporation</w:t>
      </w:r>
    </w:p>
    <w:p/>
    <w:p>
      <w:pPr>
        <w:jc w:val="center"/>
      </w:pPr>
      <w:r>
        <w:rPr>
          <w:sz w:val="24"/>
        </w:rPr>
        <w:t>07 de March de 2026</w:t>
      </w:r>
    </w:p>
    <w:p>
      <w:r>
        <w:br w:type="page"/>
      </w:r>
    </w:p>
    <w:p>
      <w:pPr>
        <w:pStyle w:val="Heading2"/>
      </w:pPr>
      <w:r>
        <w:t>MSFT — Microsoft Corporation | 🟢 COMPRAR</w:t>
      </w:r>
    </w:p>
    <w:p/>
    <w:p/>
    <w:p/>
    <w:p>
      <w:pPr>
        <w:pStyle w:val="Heading3"/>
      </w:pPr>
      <w:r>
        <w:t>Resumen ejecutivo</w:t>
      </w:r>
    </w:p>
    <w:p/>
    <w:p>
      <w:r>
        <w:t>Microsoft cotiza a **$408,96** tras una corrección del ~15% en lo que va de 2026, que ha borrado más de **$1 billón de capitalización bursátil**. Nuestro modelo DCF establece un **precio objetivo base de ~$480–500**, lo que implica un **margen de seguridad del 17–22%** respecto al precio actual. Con un negocio en plena aceleración de ingresos cloud e IA, márgenes operativos por encima del 45% y un flujo de caja libre estructuralmente sólido, la corrección reciente ofrece un punto de entrada atractivo para inversores con horizonte de 2–3 años.</w:t>
      </w:r>
    </w:p>
    <w:p/>
    <w:p/>
    <w:p/>
    <w:p>
      <w:pPr>
        <w:pStyle w:val="Heading3"/>
      </w:pPr>
      <w:r>
        <w:t>El negocio</w:t>
      </w:r>
    </w:p>
    <w:p/>
    <w:p>
      <w:r>
        <w:t>Microsoft es una de las empresas de software e infraestructura más diversificadas del mundo, con tres grandes segmentos:</w:t>
      </w:r>
    </w:p>
    <w:p/>
    <w:p>
      <w:pPr>
        <w:pStyle w:val="ListBullet"/>
      </w:pPr>
      <w:r>
        <w:t>**Productivity &amp; Business Processes**: Microsoft 365 (personal y empresarial), LinkedIn, Dynamics. Ingresos recurrentes y alta fidelización de clientes.</w:t>
      </w:r>
    </w:p>
    <w:p>
      <w:pPr>
        <w:pStyle w:val="ListBullet"/>
      </w:pPr>
      <w:r>
        <w:t>**Intelligent Cloud**: Azure (tercera plataforma cloud global), GitHub, SQL Server. El motor de crecimiento más potente de la compañía, con Azure creciendo a doble dígito alto de forma consistente.</w:t>
      </w:r>
    </w:p>
    <w:p>
      <w:pPr>
        <w:pStyle w:val="ListBullet"/>
      </w:pPr>
      <w:r>
        <w:t>**Personal Computing**: Windows OEM, Surface, Xbox y el buscador Bing/Copilot con publicidad integrada.</w:t>
      </w:r>
    </w:p>
    <w:p/>
    <w:p>
      <w:r>
        <w:t>**El moat es excepcional y multidimensional**: costes de cambio elevadísimos en el entorno empresarial (el ecosistema M365 + Azure + Teams está profundamente integrado en millones de organizaciones), efectos de red en LinkedIn y Azure (más desarrolladores → más herramientas → más empresas), y una posición única en IA a través de su alianza estratégica con OpenAI y la integración de Copilot en toda su suite de productos. No existe un competidor que replique la amplitud de este ecosistema.</w:t>
      </w:r>
    </w:p>
    <w:p/>
    <w:p/>
    <w:p/>
    <w:p>
      <w:pPr>
        <w:pStyle w:val="Heading3"/>
      </w:pPr>
      <w:r>
        <w:t>Análisis financiero</w:t>
      </w:r>
    </w:p>
    <w:p/>
    <w:p>
      <w:r>
        <w:t>**Crecimiento de ingresos sostenido y acelerándose:**</w:t>
      </w:r>
    </w:p>
    <w:p/>
    <w:p>
      <w:r>
        <w:t>| Año | Revenue | Crecimiento YoY |</w:t>
      </w:r>
    </w:p>
    <w:p>
      <w:r>
        <w:t>|-----|---------|-----------------|</w:t>
      </w:r>
    </w:p>
    <w:p>
      <w:r>
        <w:t>| 2022 | $198,3B | — |</w:t>
      </w:r>
    </w:p>
    <w:p>
      <w:r>
        <w:t>| 2023 | $211,9B | +6,9% |</w:t>
      </w:r>
    </w:p>
    <w:p>
      <w:r>
        <w:t>| 2024 | $245,1B | +15,7% |</w:t>
      </w:r>
    </w:p>
    <w:p>
      <w:r>
        <w:t>| 2025 | $281,7B | +14,9% |</w:t>
      </w:r>
    </w:p>
    <w:p/>
    <w:p>
      <w:r>
        <w:t>El salto cualitativo es claro desde 2023, con la aceleración cloud e IA impulsando de nuevo crecimientos de doble dígito alto. La base de $281,7B es ya de una dimensión que pocos compiten en escala.</w:t>
      </w:r>
    </w:p>
    <w:p/>
    <w:p>
      <w:r>
        <w:t>**Márgenes de clase mundial:**</w:t>
      </w:r>
    </w:p>
    <w:p>
      <w:pPr>
        <w:pStyle w:val="ListBullet"/>
      </w:pPr>
      <w:r>
        <w:t>Margen bruto: **68,8%** — refleja el alto peso del software y la nube, negocios con costes marginales casi nulos.</w:t>
      </w:r>
    </w:p>
    <w:p>
      <w:pPr>
        <w:pStyle w:val="ListBullet"/>
      </w:pPr>
      <w:r>
        <w:t>Margen operativo: **45,6%** — uno de los más altos en tecnología de gran capitalización.</w:t>
      </w:r>
    </w:p>
    <w:p>
      <w:pPr>
        <w:pStyle w:val="ListBullet"/>
      </w:pPr>
      <w:r>
        <w:t>Margen neto: **36,1%** — traducido en $101,8B de beneficio neto anual.</w:t>
      </w:r>
    </w:p>
    <w:p>
      <w:pPr>
        <w:pStyle w:val="ListBullet"/>
      </w:pPr>
      <w:r>
        <w:t>EBITDA: **$160,2B** en 2025, desde $100,2B en 2022. Crecimiento del 60% en tres años.</w:t>
      </w:r>
    </w:p>
    <w:p/>
    <w:p>
      <w:r>
        <w:t>**Flujo de caja libre (FCF):**</w:t>
      </w:r>
    </w:p>
    <w:p>
      <w:r>
        <w:t>El FCF reportado en 2025 fue de **$71,6B**, ligeramente por debajo de 2024 ($74,1B). Esta aparente moderación se explica por el enorme incremento del CapEx de expansión en infraestructura de IA y centros de datos —que el modelo trata correctamente como inversión de crecimiento, no mantenimiento—. El FCF de mantenimiento subyacente es considerablemente más alto.</w:t>
      </w:r>
    </w:p>
    <w:p/>
    <w:p>
      <w:r>
        <w:t>**Balance sólido:**</w:t>
      </w:r>
    </w:p>
    <w:p>
      <w:pPr>
        <w:pStyle w:val="ListBullet"/>
      </w:pPr>
      <w:r>
        <w:t>Deuda total: $60,6B</w:t>
      </w:r>
    </w:p>
    <w:p>
      <w:pPr>
        <w:pStyle w:val="ListBullet"/>
      </w:pPr>
      <w:r>
        <w:t>Caja: $30,2B → **Deuda neta de ~$30,4B**, prácticamente insignificante para una empresa que genera $100B+ de beneficio neto anual.</w:t>
      </w:r>
    </w:p>
    <w:p>
      <w:pPr>
        <w:pStyle w:val="ListBullet"/>
      </w:pPr>
      <w:r>
        <w:t>Patrimonio neto: $343,5B</w:t>
      </w:r>
    </w:p>
    <w:p>
      <w:pPr>
        <w:pStyle w:val="ListBullet"/>
      </w:pPr>
      <w:r>
        <w:t>La compañía puede financiar su expansión en IA sin tensión financiera alguna.</w:t>
      </w:r>
    </w:p>
    <w:p/>
    <w:p/>
    <w:p/>
    <w:p>
      <w:pPr>
        <w:pStyle w:val="Heading3"/>
      </w:pPr>
      <w:r>
        <w:t>Valoración DCF</w:t>
      </w:r>
    </w:p>
    <w:p/>
    <w:p>
      <w:r>
        <w:t>**Metodología:** El modelo proyecta los ingresos de Microsoft a 5 años aplicando tasas de crecimiento diferenciadas por escenario. A los ingresos proyectados se le aplican los **márgenes históricos promedio** (bruto ~69%, SG&amp;A, I+D, D&amp;A y tasa impositiva efectiva) para obtener el **Unlevered Free Cash Flow (UFCF)**.</w:t>
      </w:r>
    </w:p>
    <w:p/>
    <w:p>
      <w:r>
        <w:t>Un aspecto clave del modelo: el **CapEx de mantenimiento** se aproxima a la depreciación (~$17–20B/año). Microsoft está invirtiendo masivamente en infraestructura de IA —el CapEx total real supera los $40–50B anuales—, pero esa diferencia (~$20–30B) se trata como **CapEx de crecimiento** y **no se resta** del UFCF, porque su efecto ya está capturado en las tasas de crecimiento de ingresos proyectadas. Este tratamiento es más preciso que deducir todo el CapEx, lo que infravaioraría el valor del negocio maduro.</w:t>
      </w:r>
    </w:p>
    <w:p/>
    <w:p>
      <w:r>
        <w:t>El **Valor Terminal** se calcula mediante un **múltiplo de salida sobre EBITDA por sector** (Software-Infraestructura), no mediante el modelo de Gordon Growth, lo que evita la hipersensibilidad a la tasa de crecimiento perpetuo. El **WACC** se deriva del CAPM real: beta de 1,108 × prima de riesgo de mercado + tasa libre de riesgo actual.</w:t>
      </w:r>
    </w:p>
    <w:p/>
    <w:p>
      <w:r>
        <w:t>**Escenarios:**</w:t>
      </w:r>
    </w:p>
    <w:p/>
    <w:p>
      <w:r>
        <w:t>| Escenario | Crecimiento Revenue Y1 → Y5 | Margen Bruto | WACC | Múltiplo Terminal (EV/EBITDA) | Precio Objetivo Estimado |</w:t>
      </w:r>
    </w:p>
    <w:p>
      <w:r>
        <w:t>|-----------|---------------------------|--------------|------|-------------------------------|--------------------------|</w:t>
      </w:r>
    </w:p>
    <w:p>
      <w:r>
        <w:t>| 🐻 Conservador | 11,7% → 7,0% | 67,0% | 12,3% | 16x | ~$350–370 |</w:t>
      </w:r>
    </w:p>
    <w:p>
      <w:r>
        <w:t>| ⚖️ Base | 16,7% → 10,0% | 69,0% | 10,3% | 19x | ~$480–500 |</w:t>
      </w:r>
    </w:p>
    <w:p>
      <w:r>
        <w:t>| 🐂 Optimista | 21,7% → 13,0% | 71,0% | 9,3% | 21x | ~$620–650 |</w:t>
      </w:r>
    </w:p>
    <w:p/>
    <w:p>
      <w:r>
        <w:t>El **escenario base** asume que Microsoft mantiene el ritmo de crecimiento reciente (~15–17% en el corto plazo, desacelerando gradualmente hacia el 10%), con márgenes estables en línea con la media histórica. El múltiplo de salida de **19x EBITDA** es conservador para el sector dado el perfil de crecimiento: empresas de software de infraestructura con este nivel de escala, recurrencia y posición en IA cotizan habitualmente a 20–25x EBITDA.</w:t>
      </w:r>
    </w:p>
    <w:p/>
    <w:p>
      <w:r>
        <w:t>El **escenario conservador** a ~$350–370 implica una caída adicional del ~10% desde niveles actuales —posible en un entorno macro adverso— pero representa un suelo razonable con los fundamentales actuales. El consenso de analistas cifra el precio objetivo medio en **$596**, con un máximo de $730.</w:t>
      </w:r>
    </w:p>
    <w:p/>
    <w:p>
      <w:r>
        <w:t>**Conclusión de valoración:** A $408,96, el mercado está cotizando a Microsoft como si la aceleración de Azure e IA fuera transitoria o a múltiplos que implican un deterioro significativo de márgenes. Ninguno de los dos supuestos está respaldado por los datos. El precio objetivo base de **~$490** ofrece un **margen de seguridad del ~20%**.</w:t>
      </w:r>
    </w:p>
    <w:p/>
    <w:p/>
    <w:p/>
    <w:p>
      <w:pPr>
        <w:pStyle w:val="Heading3"/>
      </w:pPr>
      <w:r>
        <w:t>Riesgos principales</w:t>
      </w:r>
    </w:p>
    <w:p/>
    <w:p>
      <w:r>
        <w:t>1. **Desaceleración de Azure / saturación del mercado cloud**: Si el crecimiento de Azure se modera más de lo esperado (competencia de AWS y Google Cloud, ciclos de optimización del gasto empresarial), las estimaciones de ingresos Intelligent Cloud se revisarían a la baja, impactando directamente el modelo.</w:t>
      </w:r>
    </w:p>
    <w:p/>
    <w:p>
      <w:r>
        <w:t>2. **Riesgo regulatorio y antimonopolio**: La posición dominante de Microsoft en productividad empresarial, su alianza con OpenAI y la expansión en IA generativa atraen el escrutinio de reguladores en EE.UU. y la UE. Una acción regulatoria severa podría limitar integraciones clave (Copilot + M365) o forzar desinversiones.</w:t>
      </w:r>
    </w:p>
    <w:p/>
    <w:p>
      <w:r>
        <w:t>3. **Intensidad de CapEx en IA y retorno incierto**: Microsoft está comprometiendo decenas de miles de millones en infraestructura de IA. Si la monetización de Copilot no escala a la velocidad necesaria, el retorno sobre este capital podría decepcionar y comprimir márgenes de FCF durante más tiempo del esperado.</w:t>
      </w:r>
    </w:p>
    <w:p/>
    <w:p>
      <w:r>
        <w:t>4. **Riesgo macroeconómico y de tipos de interés**: Un entorno de tipos elevados sostenidos presiona el WACC al alza (cada +100pb puede impactar el precio objetivo en ~$30–40) y reduce el gasto discrecional en TI de las empresas, afectando principalmente a los segmentos de Dynamics y contratos nuevos de Azure.</w:t>
      </w:r>
    </w:p>
    <w:p/>
    <w:p/>
    <w:p/>
    <w:p>
      <w:pPr>
        <w:pStyle w:val="Heading3"/>
      </w:pPr>
      <w:r>
        <w:t>Catalizadores</w:t>
      </w:r>
    </w:p>
    <w:p/>
    <w:p>
      <w:r>
        <w:t>**Al alza (12–24 meses):**</w:t>
      </w:r>
    </w:p>
    <w:p>
      <w:pPr>
        <w:pStyle w:val="ListBullet"/>
      </w:pPr>
      <w:r>
        <w:t>**Aceleración de la monetización de Copilot**: Si el attach rate de Copilot en M365 escala de forma visible en los próximos trimestres, con incrementos de ARPU claros, el mercado revisará significativamente al alza las estimaciones de crecimiento.</w:t>
      </w:r>
    </w:p>
    <w:p>
      <w:pPr>
        <w:pStyle w:val="ListBullet"/>
      </w:pPr>
      <w:r>
        <w:t>**Resultados de Azure superiores a expectativas**: Cualquier reaceleración en el crecimiento de Azure (actualmente &gt;30% YoY) validará la tesis de inversión en IA y generará revisiones positivas de consenso.</w:t>
      </w:r>
    </w:p>
    <w:p>
      <w:pPr>
        <w:pStyle w:val="ListBullet"/>
      </w:pPr>
      <w:r>
        <w:t>**Aumento del dividendo o programa de recompras acelerado**: Con $100B+ de beneficio neto, Microsoft tiene capacidad para ser más agresivo en la retribución al accionista.</w:t>
      </w:r>
    </w:p>
    <w:p>
      <w:pPr>
        <w:pStyle w:val="ListBullet"/>
      </w:pPr>
      <w:r>
        <w:t>**Resolución positiva de tensiones geopolíticas**: La noticia sobre ataques con drones en centros de datos de Oriente Medio ha añadido incertidumbre; su resolución podría ser un catalizador de corto plazo.</w:t>
      </w:r>
    </w:p>
    <w:p/>
    <w:p>
      <w:r>
        <w:t>**A la baja:**</w:t>
      </w:r>
    </w:p>
    <w:p>
      <w:pPr>
        <w:pStyle w:val="ListBullet"/>
      </w:pPr>
      <w:r>
        <w:t>Guía de ingresos o márgenes por debajo de expectativas en los próximos earnings.</w:t>
      </w:r>
    </w:p>
    <w:p>
      <w:pPr>
        <w:pStyle w:val="ListBullet"/>
      </w:pPr>
      <w:r>
        <w:t>Escalada del conflicto regulatorio en la UE sobre prácticas anticompetitivas en IA.</w:t>
      </w:r>
    </w:p>
    <w:p>
      <w:pPr>
        <w:pStyle w:val="ListBullet"/>
      </w:pPr>
      <w:r>
        <w:t>Contracción general del múltiplo tecnológico en un escenario de risk-off prolongado.</w:t>
      </w:r>
    </w:p>
    <w:p/>
    <w:p/>
    <w:p/>
    <w:p>
      <w:pPr>
        <w:pStyle w:val="Heading3"/>
      </w:pPr>
      <w:r>
        <w:t>Conclusión y plan de acción</w:t>
      </w:r>
    </w:p>
    <w:p/>
    <w:p>
      <w:r>
        <w:t>**Recomendación: COMPRAR en el rango $390–420.**</w:t>
      </w:r>
    </w:p>
    <w:p/>
    <w:p>
      <w:r>
        <w:t>Microsoft es uno de los negocios más sólidos del planeta: crecimiento de doble dígito alto, márgenes de primer cuartil en tecnología, balance prácticamente sin tensión financiera, posición dominante en IA empresarial y un moat que se ha reforzado —no debilitado— con la llegada de la IA generativa. La corrección del 15% en 2026 no responde a un deterioro de fundamentales, sino a un reajuste de múltiplos en el sector tecnológico y a ruido de mercado.</w:t>
      </w:r>
    </w:p>
    <w:p/>
    <w:p>
      <w:r>
        <w:t>**Plan de acción concreto:**</w:t>
      </w:r>
    </w:p>
    <w:p>
      <w:pPr>
        <w:pStyle w:val="ListBullet"/>
      </w:pPr>
      <w:r>
        <w:t>**Posición inicial**: Construir una posición del 50–60% del objetivo total en el rango actual ($400–420).</w:t>
      </w:r>
    </w:p>
    <w:p>
      <w:pPr>
        <w:pStyle w:val="ListBullet"/>
      </w:pPr>
      <w:r>
        <w:t>**Añadir en debilidad**: Si el precio retrocede hacia $375–390 (escenario de mercado adverso), promediar a la baja con el resto de la posición.</w:t>
      </w:r>
    </w:p>
    <w:p>
      <w:pPr>
        <w:pStyle w:val="ListBullet"/>
      </w:pPr>
      <w:r>
        <w:t>**Stop loss conceptual**: Por debajo de $340 habría que revisar si los fundamentales han cambiado materialmente.</w:t>
      </w:r>
    </w:p>
    <w:p>
      <w:pPr>
        <w:pStyle w:val="ListBullet"/>
      </w:pPr>
      <w:r>
        <w:t>**Precio objetivo a 18–24 meses**: **$490** (escenario base), con potencial hacia **$620+** en el escenario optimista si Copilot escala según lo previsto.</w:t>
      </w:r>
    </w:p>
    <w:p/>
    <w:p>
      <w:r>
        <w:t>A los precios actuales, Microsoft no es barata en términos absolutos, pero sí lo es en términos relativos a su calidad, su posición competitiva y su trayectoria de crecimiento. Para un inversor a largo plazo, comprar una empresa de este calibre con un 20% de descuento sobre valor intrínseco es una oportunidad que se presenta pocas veces.</w:t>
      </w:r>
    </w:p>
    <w:p/>
    <w:p/>
    <w:p/>
    <w:p>
      <w:r>
        <w:t>*Análisis generado el 07/03/2026. No constituye consejo de inversión. Toda inversión conlleva riesgos. El inversor debe realizar su propia diligencia debida.*</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