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NTSK - Netskope, Inc.</w:t>
      </w:r>
    </w:p>
    <w:p/>
    <w:p>
      <w:pPr>
        <w:jc w:val="center"/>
      </w:pPr>
      <w:r>
        <w:rPr>
          <w:sz w:val="24"/>
        </w:rPr>
        <w:t>17 de March de 2026</w:t>
      </w:r>
    </w:p>
    <w:p>
      <w:r>
        <w:br w:type="page"/>
      </w:r>
    </w:p>
    <w:p>
      <w:pPr>
        <w:pStyle w:val="Heading2"/>
      </w:pPr>
      <w:r>
        <w:t>NTSK — Netskope, Inc. | ⚠️ ESPECULATIVO / SEGUIMIENTO</w:t>
      </w:r>
    </w:p>
    <w:p/>
    <w:p/>
    <w:p/>
    <w:p>
      <w:pPr>
        <w:pStyle w:val="Heading3"/>
      </w:pPr>
      <w:r>
        <w:t>Resumen ejecutivo</w:t>
      </w:r>
    </w:p>
    <w:p/>
    <w:p>
      <w:r>
        <w:t>**Precio actual:** $9,66 | **Precio objetivo (base):** ~$14-16 | **Margen de seguridad implícito:** ~45-65% al alza desde niveles actuales</w:t>
      </w:r>
    </w:p>
    <w:p/>
    <w:p>
      <w:r>
        <w:t>Netskope cotiza un 65%+ por debajo de sus máximos tras el impacto del vencimiento del período de lock-up post-IPO, con la acción castigada pese a batir estimaciones en Q4 FY2026. El modelo DCF sugiere valor significativo en escenarios base/optimista, pero la empresa sigue quemando caja de forma material y tiene patrimonio neto negativo. **No recomendamos compra agresiva en este momento; sí seguimiento activo** para quienes toleren riesgo elevado y tengan horizonte de 3-5 años.</w:t>
      </w:r>
    </w:p>
    <w:p/>
    <w:p/>
    <w:p/>
    <w:p>
      <w:pPr>
        <w:pStyle w:val="Heading3"/>
      </w:pPr>
      <w:r>
        <w:t>El negocio</w:t>
      </w:r>
    </w:p>
    <w:p/>
    <w:p>
      <w:r>
        <w:t>Netskope es una empresa de ciberseguridad fundada en 2012 y con sede en Santa Clara (California). Su producto central es la plataforma **Netskope One**, una solución cloud-nativa que integra la arquitectura **SASE (Secure Access Service Edge)** y **Zero Trust** en una única consola. El portfolio cubre:</w:t>
      </w:r>
    </w:p>
    <w:p/>
    <w:p>
      <w:pPr>
        <w:pStyle w:val="ListBullet"/>
      </w:pPr>
      <w:r>
        <w:t>**Seguridad inline en la nube:** CASB (Cloud Access Security Broker), DLP, protección frente a amenazas, Secure Web Gateway, acceso privado (ZTNA) y Remote Browser Isolation.</w:t>
      </w:r>
    </w:p>
    <w:p>
      <w:pPr>
        <w:pStyle w:val="ListBullet"/>
      </w:pPr>
      <w:r>
        <w:t>**Networking:** SD-WAN, Firewall-as-a-Service, conectividad IoT/OT.</w:t>
      </w:r>
    </w:p>
    <w:p>
      <w:pPr>
        <w:pStyle w:val="ListBullet"/>
      </w:pPr>
      <w:r>
        <w:t>**Analítica:** UEBA (User and Entity Behavior Analytics), Digital Experience Management y Advanced Analytics.</w:t>
      </w:r>
    </w:p>
    <w:p/>
    <w:p>
      <w:r>
        <w:t>El mercado objetivo es amplio: desde grandes corporaciones hasta medianas empresas en sectores regulados (finanzas, sanidad, gobierno). Compite directamente con **Zscaler, Palo Alto Networks y Cloudflare**, todos con capitalización muy superior.</w:t>
      </w:r>
    </w:p>
    <w:p/>
    <w:p>
      <w:r>
        <w:t>**¿Cuál es el moat?** Netskope tiene ventajas competitivas reales pero todavía en construcción:</w:t>
      </w:r>
    </w:p>
    <w:p>
      <w:r>
        <w:t>1. **Integración plataforma**: la convergencia de red + seguridad + analítica en un único agente reduce fricción operativa para el cliente.</w:t>
      </w:r>
    </w:p>
    <w:p>
      <w:r>
        <w:t>2. **Efectos de red de datos**: cuantos más clientes, más señales de amenaza se procesan, mejorando la detección.</w:t>
      </w:r>
    </w:p>
    <w:p>
      <w:r>
        <w:t>3. **Costes de cambio elevados**: migrar una plataforma SASE implica re-arquitecturar toda la conectividad empresarial.</w:t>
      </w:r>
    </w:p>
    <w:p/>
    <w:p>
      <w:r>
        <w:t>La debilidad es que sus rivales cotizan y tienen más músculo financiero para invertir. Netskope es aún una compañía privada que acaba de salir a bolsa y necesita consolidar su posición antes de que el mercado la absorba o la adquiera.</w:t>
      </w:r>
    </w:p>
    <w:p/>
    <w:p/>
    <w:p/>
    <w:p>
      <w:pPr>
        <w:pStyle w:val="Heading3"/>
      </w:pPr>
      <w:r>
        <w:t>Análisis financiero</w:t>
      </w:r>
    </w:p>
    <w:p/>
    <w:p>
      <w:r>
        <w:t>**Crecimiento de ingresos: sólido pero con alto coste**</w:t>
      </w:r>
    </w:p>
    <w:p/>
    <w:p>
      <w:r>
        <w:t>| Métrica | FY2024 | FY2025 |</w:t>
      </w:r>
    </w:p>
    <w:p>
      <w:r>
        <w:t>|---|---|---|</w:t>
      </w:r>
    </w:p>
    <w:p>
      <w:r>
        <w:t>| Revenue | $407M | $538M |</w:t>
      </w:r>
    </w:p>
    <w:p>
      <w:r>
        <w:t>| Crecimiento YoY | — | **+32,3%** |</w:t>
      </w:r>
    </w:p>
    <w:p>
      <w:r>
        <w:t>| Gross Margin | ~64% | **64,6%** |</w:t>
      </w:r>
    </w:p>
    <w:p>
      <w:r>
        <w:t>| EBITDA | -$263M | -$204M |</w:t>
      </w:r>
    </w:p>
    <w:p>
      <w:r>
        <w:t>| FCF | -$208M | -$151M |</w:t>
      </w:r>
    </w:p>
    <w:p>
      <w:r>
        <w:t>| Pérdida neta | -$345M | -$355M |</w:t>
      </w:r>
    </w:p>
    <w:p/>
    <w:p>
      <w:r>
        <w:t>Los datos positivos son claros: **el revenue crece al 32% y el margen bruto supera el 64%**, ambos indicativos de un modelo SaaS de calidad. Además, la tendencia de pérdidas operativas mejora —el EBITDA negativo se reduce de -$263M a -$204M y el FCF de -$208M a -$151M—, señalando que la empresa está avanzando hacia un modelo más eficiente aunque todavía lejos del breakeven.</w:t>
      </w:r>
    </w:p>
    <w:p/>
    <w:p>
      <w:r>
        <w:t>**Los puntos de preocupación son igualmente relevantes:**</w:t>
      </w:r>
    </w:p>
    <w:p>
      <w:pPr>
        <w:pStyle w:val="ListBullet"/>
      </w:pPr>
      <w:r>
        <w:t>**Patrimonio neto negativo: -$486M.** Esto refleja pérdidas acumuladas masivas y es habitual en hipercrecimiento pre-rentabilidad, pero añade fragilidad de balance.</w:t>
      </w:r>
    </w:p>
    <w:p>
      <w:pPr>
        <w:pStyle w:val="ListBullet"/>
      </w:pPr>
      <w:r>
        <w:t>**Deuda total: $663M vs. caja: $166M** → deuda neta de ~$497M. Con una empresa que quema ~$150M/año en FCF, la pista de vuelo es inferior a 12 meses sin financiación adicional.</w:t>
      </w:r>
    </w:p>
    <w:p>
      <w:pPr>
        <w:pStyle w:val="ListBullet"/>
      </w:pPr>
      <w:r>
        <w:t>**Margen operativo: -47,5%.** Aunque mejora desde -76,9% en FY2024, todavía muy alejado de la rentabilidad. SG&amp;A y R&amp;D consumen la mayor parte del margen bruto.</w:t>
      </w:r>
    </w:p>
    <w:p/>
    <w:p>
      <w:r>
        <w:t>En conclusión: Netskope está en la fase clásica de "invertir para crecer" del SaaS empresarial, pero el reloj financiero corre.</w:t>
      </w:r>
    </w:p>
    <w:p/>
    <w:p/>
    <w:p/>
    <w:p>
      <w:pPr>
        <w:pStyle w:val="Heading3"/>
      </w:pPr>
      <w:r>
        <w:t>Valoración DCF</w:t>
      </w:r>
    </w:p>
    <w:p/>
    <w:p>
      <w:r>
        <w:t>**Metodología aplicada**</w:t>
      </w:r>
    </w:p>
    <w:p/>
    <w:p>
      <w:r>
        <w:t>El modelo proyecta revenues futuros aplicando las tasas de crecimiento de cada escenario, y sobre ellos aplica los márgenes históricos promedio (bruto, SG&amp;A, R&amp;D, D&amp;A, impuestos) para estimar el **Unlevered Free Cash Flow (UFCF)**. El CapEx utilizado es exclusivamente de **mantenimiento (≈Depreciación)**, dado que el CapEx de crecimiento —infraestructura cloud, I+D capitalizado, expansión comercial— ya está implícito en las tasas de crecimiento del revenue proyectado.</w:t>
      </w:r>
    </w:p>
    <w:p/>
    <w:p>
      <w:r>
        <w:t>&gt; **Nota relevante sobre CapEx:** En el caso de Netskope, la diferencia entre el CapEx total real y el de mantenimiento puede ser significativa, dado que la compañía invierte activamente en infraestructura de red propia para su plataforma SASE. Los analistas que usen CapEx total llegarán a valoraciones más conservadoras. Nuestro modelo, al excluirlo, asume que este gasto de crecimiento se autofinancia con el propio revenue generado, lo cual es un supuesto optimista que el inversor debe tener presente.</w:t>
      </w:r>
    </w:p>
    <w:p/>
    <w:p>
      <w:r>
        <w:t>El **Terminal Value** se calcula mediante **múltiplo de salida por sector** (EV/EBITDA del sector Software Infrastructure), sin aplicar Gordon Growth, lo que evita sensibilidades excesivas a la tasa de descuento terminal. El **WACC** se obtiene por CAPM real (beta × prima de riesgo de mercado + tasa libre de riesgo), con Beta = 1,0.</w:t>
      </w:r>
    </w:p>
    <w:p/>
    <w:p>
      <w:r>
        <w:t>**Supuestos y resultados por escenario**</w:t>
      </w:r>
    </w:p>
    <w:p/>
    <w:p>
      <w:r>
        <w:t>| Parámetro | 🐻 Bear | 📊 Base | 🐂 Bull |</w:t>
      </w:r>
    </w:p>
    <w:p>
      <w:r>
        <w:t>|---|---|---|---|</w:t>
      </w:r>
    </w:p>
    <w:p>
      <w:r>
        <w:t>| Crecimiento Y1 | +22,5% | +32,2% | +41,9% |</w:t>
      </w:r>
    </w:p>
    <w:p>
      <w:r>
        <w:t>| Crecimiento Y5 | +13,5% | +19,3% | +25,1% |</w:t>
      </w:r>
    </w:p>
    <w:p>
      <w:r>
        <w:t>| Gross Margin | 60,2% | 62,2% | 64,2% |</w:t>
      </w:r>
    </w:p>
    <w:p>
      <w:r>
        <w:t>| WACC | 11,0% | 9,0% | 8,0% |</w:t>
      </w:r>
    </w:p>
    <w:p>
      <w:r>
        <w:t>| Múltiplo terminal (EV/EBITDA) | 18x | 21x | 23x |</w:t>
      </w:r>
    </w:p>
    <w:p>
      <w:r>
        <w:t>| **Precio objetivo implícito** | **~$6-8** | **~$14-16** | **~$22-26** |</w:t>
      </w:r>
    </w:p>
    <w:p/>
    <w:p>
      <w:r>
        <w:t>El escenario **base** implica un upside del ~50-65% desde $9,66. El escenario **bear** sitúa el precio por debajo del actual, lo que subraya el riesgo real de la inversión. El escenario **bull** (~$22-26) está en línea con el consenso analista (media: $18,4; máximo: $28), lo que da cierta credibilidad al extremo optimista.</w:t>
      </w:r>
    </w:p>
    <w:p/>
    <w:p>
      <w:r>
        <w:t>**¿Por qué puede ser razonable el precio objetivo base?** Si Netskope logra escalar hacia márgenes operativos positivos en FY2028-2029 (algo factible dado que el sector SASE tiene economías de escala claras una vez superado el umbral de ~$600-700M de ARR), los múltiplos de 21x EBITDA son conservadores frente a peers cotizados como Zscaler (~25-30x) o Cloudflare (~40x) en momentos similares de su ciclo.</w:t>
      </w:r>
    </w:p>
    <w:p/>
    <w:p/>
    <w:p/>
    <w:p>
      <w:pPr>
        <w:pStyle w:val="Heading3"/>
      </w:pPr>
      <w:r>
        <w:t>Riesgos principales</w:t>
      </w:r>
    </w:p>
    <w:p/>
    <w:p>
      <w:r>
        <w:t>1. **Riesgo de financiación y dilución.** Con ~$166M de caja, deuda neta de ~$497M y un FCF negativo de $150M+/año, Netskope necesitará levantar capital adicional o mejorar drásticamente su eficiencia en 12-18 meses. Una ampliación de capital en mercado bajista podría ser muy dilutiva para el accionista actual.</w:t>
      </w:r>
    </w:p>
    <w:p/>
    <w:p>
      <w:r>
        <w:t>2. **Presión del vencimiento de lock-up.** Ya evidenciado: el 11-13 de marzo de 2026 vencieron 390M de acciones del período de lock-up, provocando una caída del 15% pese al earnings beat. Con 156M de acciones actuales vs. 390M desbloqueadas, la presión vendedora de insiders y fondos de venture capital puede continuar durante meses.</w:t>
      </w:r>
    </w:p>
    <w:p/>
    <w:p>
      <w:r>
        <w:t>3. **Competencia de jugadores establecidos.** Palo Alto Networks, Zscaler y Cisco (con su adquisición de Splunk) tienen recursos para ofrecer funcionalidades similares con descuentos agresivos o bundling. La consolidación del mercado SASE puede beneficiar a los líderes y perjudicar a los segundos niveles como Netskope.</w:t>
      </w:r>
    </w:p>
    <w:p/>
    <w:p>
      <w:r>
        <w:t>4. **Macro y ciclo de gasto IT empresarial.** En un entorno de tipos elevados o recesión, los CISOs priorizan renovar antes que expandir. Los ciclos de venta largos y la alta dependencia de grandes cuentas hacen a Netskope vulnerable a retrasos en cierres comerciales.</w:t>
      </w:r>
    </w:p>
    <w:p/>
    <w:p/>
    <w:p/>
    <w:p>
      <w:pPr>
        <w:pStyle w:val="Heading3"/>
      </w:pPr>
      <w:r>
        <w:t>Catalizadores</w:t>
      </w:r>
    </w:p>
    <w:p/>
    <w:p>
      <w:r>
        <w:t>**Al alza (12-24 meses):**</w:t>
      </w:r>
    </w:p>
    <w:p>
      <w:pPr>
        <w:pStyle w:val="ListBullet"/>
      </w:pPr>
      <w:r>
        <w:t>**Breakeven operativo o FCF positivo** antes de lo esperado: sería el catalizador más poderoso. Una mejora del margen operativo hacia -20/-15% en FY2027 cambiaría el sentimiento radicalmente.</w:t>
      </w:r>
    </w:p>
    <w:p>
      <w:pPr>
        <w:pStyle w:val="ListBullet"/>
      </w:pPr>
      <w:r>
        <w:t>**Absorción del overhang de lock-up**: una vez que los primeros vendedores post-IPO hayan distribuido su posición (6-9 meses), la presión vendedora estructural desaparece.</w:t>
      </w:r>
    </w:p>
    <w:p>
      <w:pPr>
        <w:pStyle w:val="ListBullet"/>
      </w:pPr>
      <w:r>
        <w:t>**Lanzamiento y tracción de Netskope One AI Security**: presentado en marzo 2026, podría acelerar el upsell a clientes existentes en el boom de seguridad para infraestructuras de IA.</w:t>
      </w:r>
    </w:p>
    <w:p>
      <w:pPr>
        <w:pStyle w:val="ListBullet"/>
      </w:pPr>
      <w:r>
        <w:t>**Operación corporativa**: Netskope es un objetivo de adquisición plausible para grandes actores de redes/seguridad (Cisco, Palo Alto, o incluso Microsoft). A $3,8Bn de market cap, el precio es asequible.</w:t>
      </w:r>
    </w:p>
    <w:p/>
    <w:p>
      <w:r>
        <w:t>**A la baja:**</w:t>
      </w:r>
    </w:p>
    <w:p>
      <w:pPr>
        <w:pStyle w:val="ListBullet"/>
      </w:pPr>
      <w:r>
        <w:t>Necesidad de ampliar capital a precios desfavorables.</w:t>
      </w:r>
    </w:p>
    <w:p>
      <w:pPr>
        <w:pStyle w:val="ListBullet"/>
      </w:pPr>
      <w:r>
        <w:t>Deceleración del crecimiento por debajo del 20% en FY2027.</w:t>
      </w:r>
    </w:p>
    <w:p>
      <w:pPr>
        <w:pStyle w:val="ListBullet"/>
      </w:pPr>
      <w:r>
        <w:t>Pérdida de grandes cuentas ante competidores con bundling más agresivo.</w:t>
      </w:r>
    </w:p>
    <w:p/>
    <w:p/>
    <w:p/>
    <w:p>
      <w:pPr>
        <w:pStyle w:val="Heading3"/>
      </w:pPr>
      <w:r>
        <w:t>Conclusión y plan de acción</w:t>
      </w:r>
    </w:p>
    <w:p/>
    <w:p>
      <w:r>
        <w:t>**Veredicto: SEGUIMIENTO ACTIVO — No comprar aún de forma agresiva; construir posición pequeña si se confirma estabilización**</w:t>
      </w:r>
    </w:p>
    <w:p/>
    <w:p>
      <w:r>
        <w:t>Netskope es un activo de alta calidad tecnológica en un mercado secular de crecimiento (SASE/Zero Trust), pero con una estructura financiera frágil y un overhang de acciones que crea presión vendedora estructural en el corto plazo.</w:t>
      </w:r>
    </w:p>
    <w:p/>
    <w:p>
      <w:r>
        <w:t>**Plan de acción concreto:**</w:t>
      </w:r>
    </w:p>
    <w:p/>
    <w:p>
      <w:pPr>
        <w:pStyle w:val="ListBullet"/>
      </w:pPr>
      <w:r>
        <w:t>**Por debajo de $8:** Zona de compra especulativa con convicción moderada para inversores con horizonte &gt;3 años y tolerancia a volatilidad alta. Posición máxima recomendada: 2-3% de cartera.</w:t>
      </w:r>
    </w:p>
    <w:p>
      <w:pPr>
        <w:pStyle w:val="ListBullet"/>
      </w:pPr>
      <w:r>
        <w:t>**$8-$10 (precio actual):** Esperar confirmación de absorción del lock-up y señales de mejora de FCF antes de incrementar. Posición inicial pequeña (1%) aceptable.</w:t>
      </w:r>
    </w:p>
    <w:p>
      <w:pPr>
        <w:pStyle w:val="ListBullet"/>
      </w:pPr>
      <w:r>
        <w:t>**Por encima de $14:** Revisar tesis. A ese precio, el margen de seguridad se reduce y la asimetría riesgo/recompensa empeora sustancialmente.</w:t>
      </w:r>
    </w:p>
    <w:p>
      <w:pPr>
        <w:pStyle w:val="ListBullet"/>
      </w:pPr>
      <w:r>
        <w:t>**Stop loss lógico:** Deterioro del crecimiento de revenue por debajo del 20% o anuncio de ampliación de capital masiva.</w:t>
      </w:r>
    </w:p>
    <w:p/>
    <w:p>
      <w:r>
        <w:t>La acción tiene potencial real de revalorización significativa en el escenario base, pero el inversor debe ser consciente de que también existe un escenario bear en el que el precio actual no ofrece margen de seguridad. **Disciplina en el tamaño de posición y paciencia son los activos más importantes aquí.**</w:t>
      </w:r>
    </w:p>
    <w:p/>
    <w:p/>
    <w:p/>
    <w:p>
      <w:r>
        <w:t>*Análisis generado el 17/03/2026. No constituye consejo de inversión. Datos basados en información pública disponible. El inversor debe realizar su propia diligencia.*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