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NWL - Newell Brands Inc.</w:t>
      </w:r>
    </w:p>
    <w:p/>
    <w:p>
      <w:pPr>
        <w:jc w:val="center"/>
      </w:pPr>
      <w:r>
        <w:rPr>
          <w:sz w:val="24"/>
        </w:rPr>
        <w:t>16 de March de 2026</w:t>
      </w:r>
    </w:p>
    <w:p>
      <w:r>
        <w:br w:type="page"/>
      </w:r>
    </w:p>
    <w:p>
      <w:pPr>
        <w:pStyle w:val="Heading2"/>
      </w:pPr>
      <w:r>
        <w:t>NWL — Newell Brands Inc. | ⚠️ ESPECULATIVO / NO COMPRAR AÚN</w:t>
      </w:r>
    </w:p>
    <w:p/>
    <w:p/>
    <w:p/>
    <w:p>
      <w:pPr>
        <w:pStyle w:val="Heading3"/>
      </w:pPr>
      <w:r>
        <w:t>Resumen ejecutivo</w:t>
      </w:r>
    </w:p>
    <w:p/>
    <w:p>
      <w:r>
        <w:t>Newell Brands cotiza a **$3,96 por acción** (capitalización bursátil de ~$1.660M), con un precio objetivo base de **$5,38** según el consenso de analistas y nuestro modelo DCF, lo que implicaría un potencial del **+36%**. Sin embargo, la deuda neta de **$5.016M** —tres veces la capitalización de mercado— y cuatro años consecutivos de deterioro operativo convierten esta historia en una apuesta de alto riesgo. **No recomendamos iniciar posición hasta ver estabilización clara de márgenes y generación de caja sostenida.**</w:t>
      </w:r>
    </w:p>
    <w:p/>
    <w:p/>
    <w:p/>
    <w:p>
      <w:pPr>
        <w:pStyle w:val="Heading3"/>
      </w:pPr>
      <w:r>
        <w:t>El negocio</w:t>
      </w:r>
    </w:p>
    <w:p/>
    <w:p>
      <w:r>
        <w:t>Newell Brands es un conglomerado de bienes de consumo fundado en 1903 con sede en Atlanta. Opera bajo más de 30 marcas en tres segmentos:</w:t>
      </w:r>
    </w:p>
    <w:p/>
    <w:p>
      <w:pPr>
        <w:pStyle w:val="ListBullet"/>
      </w:pPr>
      <w:r>
        <w:t>**Home and Commercial Solutions**: Rubbermaid, Yankee Candle, Calphalon, Crockpot, Ball</w:t>
      </w:r>
    </w:p>
    <w:p>
      <w:pPr>
        <w:pStyle w:val="ListBullet"/>
      </w:pPr>
      <w:r>
        <w:t>**Learning and Development**: Sharpie, Paper Mate, Graco, Expo, Elmer's, Parker</w:t>
      </w:r>
    </w:p>
    <w:p>
      <w:pPr>
        <w:pStyle w:val="ListBullet"/>
      </w:pPr>
      <w:r>
        <w:t>**Outdoor and Recreation**: Coleman, Marmot, Contigo, Campingaz, Bubba</w:t>
      </w:r>
    </w:p>
    <w:p/>
    <w:p>
      <w:r>
        <w:t>La empresa distribuye a través de grandes superficies (Walmart, Target, Amazon), clubs de precio, tiendas especializadas y canal directo. Vende en más de 150 países.</w:t>
      </w:r>
    </w:p>
    <w:p/>
    <w:p>
      <w:r>
        <w:t>**El moat es su principal problema.** Si bien algunas marcas individuales tienen reconocimiento genuino (Sharpie, Yankee Candle, Coleman, Graco), el conjunto del portafolio carece de pricing power suficiente para defender márgenes frente a la competencia de marcas blancas y la concentración de poder en los grandes distribuidores. La estrategia de crecimiento vía adquisiciones agresivas (especialmente la compra de Jarden por $15.400M en 2016) dejó un balance devastado del que aún no se ha recuperado.</w:t>
      </w:r>
    </w:p>
    <w:p/>
    <w:p/>
    <w:p/>
    <w:p>
      <w:pPr>
        <w:pStyle w:val="Heading3"/>
      </w:pPr>
      <w:r>
        <w:t>Análisis financiero</w:t>
      </w:r>
    </w:p>
    <w:p/>
    <w:p>
      <w:r>
        <w:t>**Caída estructural de ingresos**: Los revenues han descendido desde **$9.459M en 2022** hasta **$7.204M en 2025**, una contracción del **-23,8% en tres años**. La empresa ha desinvertido activos y perdido cuota de mercado simultáneamente.</w:t>
      </w:r>
    </w:p>
    <w:p/>
    <w:p>
      <w:r>
        <w:t>| Año | Revenue | EBITDA | FCF | Net Income |</w:t>
      </w:r>
    </w:p>
    <w:p>
      <w:r>
        <w:t>|-----|---------|--------|-----|------------|</w:t>
      </w:r>
    </w:p>
    <w:p>
      <w:r>
        <w:t>| 2022 | $9.459M | $688M | -$584M | $197M |</w:t>
      </w:r>
    </w:p>
    <w:p>
      <w:r>
        <w:t>| 2023 | $8.133M | $74M | $646M | -$388M |</w:t>
      </w:r>
    </w:p>
    <w:p>
      <w:r>
        <w:t>| 2024 | $7.582M | $358M | $237M | -$216M |</w:t>
      </w:r>
    </w:p>
    <w:p>
      <w:r>
        <w:t>| 2025 | $7.204M | $331M | $17M | -$285M |</w:t>
      </w:r>
    </w:p>
    <w:p/>
    <w:p>
      <w:r>
        <w:t>**Márgenes bajo presión**: El margen bruto actual es del **33,8%**, por encima del promedio histórico utilizado en el modelo (31,6%), pero los sucesivos deterioros sugieren que este nivel no es sostenible sin el plan de reestructuración activo. El margen operativo se sitúa en un modesto **6,5%**.</w:t>
      </w:r>
    </w:p>
    <w:p/>
    <w:p>
      <w:r>
        <w:t>**El FCF es alarmante**: En 2025, la empresa generó apenas **$17M de flujo de caja libre**, prácticamente cero después de años de promesas de mejora. El FCF negativo de 2022 (-$584M) coincidió con el pico de inversión; la recuperación de 2023 ($646M) fue en gran medida puntual (desinversiones, gestión de capital circulante). La normalización a niveles ínfimos en 2025 es una señal de alarma.</w:t>
      </w:r>
    </w:p>
    <w:p/>
    <w:p>
      <w:r>
        <w:t>**Deuda: el elefante en la habitación**: La deuda total asciende a **$5.219M** frente a una caja de solo $203M. La **deuda neta de $5.016M triplica la capitalización bursátil**. Con un EBITDA de $331M, el ratio Deuda Neta/EBITDA se sitúa en **~15x**, un nivel que en cualquier sector no defensivo activaría señales de distress. Los accionistas están estructuralmente subordinados a los acreedores.</w:t>
      </w:r>
    </w:p>
    <w:p/>
    <w:p/>
    <w:p/>
    <w:p>
      <w:pPr>
        <w:pStyle w:val="Heading3"/>
      </w:pPr>
      <w:r>
        <w:t>Valoración DCF</w:t>
      </w:r>
    </w:p>
    <w:p/>
    <w:p>
      <w:r>
        <w:t>**Metodología**: El modelo proyecta los revenues futuros aplicando los márgenes históricos promedio (bruto, SG&amp;A, R&amp;D, D&amp;A, impuestos) para derivar el Unlevered Free Cash Flow (UFCF). El CapEx de mantenimiento se aproxima a la depreciación histórica. Es relevante señalar que **la diferencia entre el CapEx total reportado y el CapEx de mantenimiento es significativa**: Newell ha invertido históricamente en reestructuraciones e infraestructura más allá del mero mantenimiento, lo que eleva el consumo real de caja. El valor terminal se calcula mediante múltiplo de salida sectorial (no Gordon Growth), usando el EV/EBITDA típico del sector Consumer Defensive. El WACC se deriva del CAPM con beta de 0,87.</w:t>
      </w:r>
    </w:p>
    <w:p/>
    <w:p>
      <w:r>
        <w:t>**Escenarios:**</w:t>
      </w:r>
    </w:p>
    <w:p/>
    <w:p>
      <w:r>
        <w:t>| Escenario | Revenue Y1 | Margen Bruto | WACC | Múltiplo TV | Precio implícito |</w:t>
      </w:r>
    </w:p>
    <w:p>
      <w:r>
        <w:t>|-----------|-----------|--------------|------|-------------|-----------------|</w:t>
      </w:r>
    </w:p>
    <w:p>
      <w:r>
        <w:t>| 🐻 Bear | -4,7% | 29,6% | 7,2% | 6x EBITDA | ~$1,80 - $2,50 |</w:t>
      </w:r>
    </w:p>
    <w:p>
      <w:r>
        <w:t>| 📊 Base | -1,7% → +2,3% | 31,6% | 5,2% | 9x EBITDA | ~$4,50 - $5,50 |</w:t>
      </w:r>
    </w:p>
    <w:p>
      <w:r>
        <w:t>| 🐂 Bull | +0,3% → +0,2% | 33,6% | 4,2% | 11x EBITDA | ~$7,00 - $8,00 |</w:t>
      </w:r>
    </w:p>
    <w:p/>
    <w:p>
      <w:r>
        <w:t>El escenario base asume una leve contracción en 2026 seguida de una estabilización hacia un crecimiento modesto del 2,3%, márgenes en línea con el promedio histórico deteriorado, y una valoración de salida de 9x EBITDA —razonable para el sector. A ese múltiplo, el **precio objetivo es de ~$5,00**, coherente con el consenso de analistas (media: $5,38).</w:t>
      </w:r>
    </w:p>
    <w:p/>
    <w:p>
      <w:r>
        <w:t>**Advertencia estructural**: La deuda neta ($5.016M) consume la mayor parte del Enterprise Value calculado. Pequeñas variaciones en los supuestos operativos se traducen en cambios muy grandes en el valor del equity, lo que explica la enorme dispersión entre el escenario bear (~$2) y el bull (~$8). Esto no es una característica de un investment de valor clásico; es la mecánica de un equity altamente apalancado.</w:t>
      </w:r>
    </w:p>
    <w:p/>
    <w:p/>
    <w:p/>
    <w:p>
      <w:pPr>
        <w:pStyle w:val="Heading3"/>
      </w:pPr>
      <w:r>
        <w:t>Riesgos principales</w:t>
      </w:r>
    </w:p>
    <w:p/>
    <w:p>
      <w:r>
        <w:t>1. **Riesgo de balance / refinanciación**: Con $5.219M de deuda y un EBITDA de $331M, cualquier deterioro en los mercados de crédito o en la generación operativa puede derivar en una reestructuración de deuda que diluya o elimine el valor del accionista. Este es el riesgo dominante.</w:t>
      </w:r>
    </w:p>
    <w:p/>
    <w:p>
      <w:r>
        <w:t>2. **Erosión continua de revenue**: La tendencia decreciente de ingresos (-23,8% en 3 años) no ha mostrado suelo claro. Si las desinversiones pendientes y la pérdida de cuota continúan, el modelo base se convierte en el nuevo bull.</w:t>
      </w:r>
    </w:p>
    <w:p/>
    <w:p>
      <w:r>
        <w:t>3. **Impacto arancelario**: La empresa menciona explícitamente los aranceles como un riesgo en su comunicación de 2026. Con manufactura y sourcing significativos en Asia, nuevos aranceles pueden comprimir aún más márgenes ya estrechos, especialmente en un contexto de escasa capacidad de repercusión de precios.</w:t>
      </w:r>
    </w:p>
    <w:p/>
    <w:p>
      <w:r>
        <w:t>4. **Ejecución del turnaround**: La dirección lleva años anunciando planes de reestructuración. El FCF de $17M en 2025 sugiere que la "recuperación baby-step" (en palabras de Seeking Alpha) puede ser más tortuga que sprint. La credibilidad del management está erosionada.</w:t>
      </w:r>
    </w:p>
    <w:p/>
    <w:p/>
    <w:p/>
    <w:p>
      <w:pPr>
        <w:pStyle w:val="Heading3"/>
      </w:pPr>
      <w:r>
        <w:t>Catalizadores</w:t>
      </w:r>
    </w:p>
    <w:p/>
    <w:p>
      <w:r>
        <w:t>**Al alza:**</w:t>
      </w:r>
    </w:p>
    <w:p>
      <w:pPr>
        <w:pStyle w:val="ListBullet"/>
      </w:pPr>
      <w:r>
        <w:t>**Estabilización del revenue y recuperación de márgenes**: Si el plan de productividad 2026 eleva el margen bruto por encima del 34-35%, el EBITDA podría superar los $500M, relajando drásticamente el múltiplo de deuda.</w:t>
      </w:r>
    </w:p>
    <w:p>
      <w:pPr>
        <w:pStyle w:val="ListBullet"/>
      </w:pPr>
      <w:r>
        <w:t>**Desinversión de activos a buen precio**: La venta de marcas secundarias con valoraciones atractivas permitiría amortizar deuda y mejorar el perfil crediticio.</w:t>
      </w:r>
    </w:p>
    <w:p>
      <w:pPr>
        <w:pStyle w:val="ListBullet"/>
      </w:pPr>
      <w:r>
        <w:t>**Rerating del múltiplo**: Al cotizar a ~5x EV/EBITDA (base 2025), cualquier mejora operativa puede provocar una expansión de múltiplo desproporcionada dada la base tan deprimida.</w:t>
      </w:r>
    </w:p>
    <w:p>
      <w:pPr>
        <w:pStyle w:val="ListBullet"/>
      </w:pPr>
      <w:r>
        <w:t>**Reducción de aranceles o acuerdo comercial**: Aliviaría presión sobre costes de sourcing.</w:t>
      </w:r>
    </w:p>
    <w:p/>
    <w:p>
      <w:r>
        <w:t>**A la baja:**</w:t>
      </w:r>
    </w:p>
    <w:p>
      <w:pPr>
        <w:pStyle w:val="ListBullet"/>
      </w:pPr>
      <w:r>
        <w:t>Deterioro del consumo en EE.UU. que acelere la pérdida de volumen.</w:t>
      </w:r>
    </w:p>
    <w:p>
      <w:pPr>
        <w:pStyle w:val="ListBullet"/>
      </w:pPr>
      <w:r>
        <w:t>Vencimientos de deuda que no puedan refinanciarse en condiciones razonables.</w:t>
      </w:r>
    </w:p>
    <w:p>
      <w:pPr>
        <w:pStyle w:val="ListBullet"/>
      </w:pPr>
      <w:r>
        <w:t>Nuevas cargas extraordinarias de reestructuración que destruyan el escaso FCF.</w:t>
      </w:r>
    </w:p>
    <w:p/>
    <w:p/>
    <w:p/>
    <w:p>
      <w:pPr>
        <w:pStyle w:val="Heading3"/>
      </w:pPr>
      <w:r>
        <w:t>Conclusión y plan de acción</w:t>
      </w:r>
    </w:p>
    <w:p/>
    <w:p>
      <w:r>
        <w:t>Newell Brands es una historia de **valor potencial envuelta en un balance de alto riesgo**. La empresa tiene marcas reales, distribución global y un turnaround plausible sobre el papel. Sin embargo, con una **deuda neta que triplica la capitalización bursátil**, un FCF de $17M en 2025 y cuatro años consecutivos de pérdidas netas, el margen de error es prácticamente inexistente.</w:t>
      </w:r>
    </w:p>
    <w:p/>
    <w:p>
      <w:r>
        <w:t>**Recomendación: NO COMPRAR en el nivel actual.**</w:t>
      </w:r>
    </w:p>
    <w:p/>
    <w:p>
      <w:r>
        <w:t>No porque el negocio sea irrecuperable, sino porque el riesgo de pérdida permanente de capital (escenario bear: $1,80-$2,50) es demasiado elevado en relación con el potencial alcista del escenario base (~$5). La asimetría no favorece al inversor conservador.</w:t>
      </w:r>
    </w:p>
    <w:p/>
    <w:p>
      <w:r>
        <w:t>**Si aún así se considera una posición especulativa:**</w:t>
      </w:r>
    </w:p>
    <w:p>
      <w:pPr>
        <w:pStyle w:val="ListBullet"/>
      </w:pPr>
      <w:r>
        <w:t>Esperar confirmación de estabilización de revenue en Q1/Q2 2026 (resultados trimestrales).</w:t>
      </w:r>
    </w:p>
    <w:p>
      <w:pPr>
        <w:pStyle w:val="ListBullet"/>
      </w:pPr>
      <w:r>
        <w:t>Verificar que el FCF supere los $150M en 2026 antes de comprometer capital.</w:t>
      </w:r>
    </w:p>
    <w:p>
      <w:pPr>
        <w:pStyle w:val="ListBullet"/>
      </w:pPr>
      <w:r>
        <w:t>Limitar la posición a un máximo del **1-2% de cartera** dado el perfil de riesgo.</w:t>
      </w:r>
    </w:p>
    <w:p>
      <w:pPr>
        <w:pStyle w:val="ListBullet"/>
      </w:pPr>
      <w:r>
        <w:t>Precio de entrada más atractivo: **por debajo de $3,50**, que ofrecería un mayor margen de seguridad frente al escenario base.</w:t>
      </w:r>
    </w:p>
    <w:p/>
    <w:p>
      <w:r>
        <w:t>La tesis alcista existe, pero requiere que la dirección demuestre con hechos —no con presentaciones en CAGNY— que el turnaround es real. Hasta entonces, observar desde la barrera.</w:t>
      </w:r>
    </w:p>
    <w:p/>
    <w:p/>
    <w:p>
      <w:r>
        <w:t>*Análisis generado el 16/03/2026. No es consejo de inversión. El autor puede no tener posiciones en el valor mencionado.*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