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8"/>
        </w:rPr>
        <w:t>TESIS DE INVERSION</w:t>
      </w:r>
    </w:p>
    <w:p>
      <w:pPr>
        <w:jc w:val="center"/>
      </w:pPr>
      <w:r>
        <w:rPr>
          <w:color w:val="2E74B5"/>
          <w:sz w:val="32"/>
        </w:rPr>
        <w:t>NWL.MI - NewPrinces S.p.A.</w:t>
      </w:r>
    </w:p>
    <w:p/>
    <w:p>
      <w:pPr>
        <w:jc w:val="center"/>
      </w:pPr>
      <w:r>
        <w:rPr>
          <w:sz w:val="24"/>
        </w:rPr>
        <w:t>16 de March de 2026</w:t>
      </w:r>
    </w:p>
    <w:p>
      <w:r>
        <w:br w:type="page"/>
      </w:r>
    </w:p>
    <w:p>
      <w:pPr>
        <w:pStyle w:val="Heading2"/>
      </w:pPr>
      <w:r>
        <w:t>NWL.MI — NewPrinces S.p.A. | 🟢 COMPRAR</w:t>
      </w:r>
    </w:p>
    <w:p/>
    <w:p/>
    <w:p/>
    <w:p>
      <w:pPr>
        <w:pStyle w:val="Heading3"/>
      </w:pPr>
      <w:r>
        <w:t>Resumen ejecutivo</w:t>
      </w:r>
    </w:p>
    <w:p/>
    <w:p>
      <w:r>
        <w:t>**Precio actual:** $17,62 | **Precio objetivo (base):** ~$29,50 | **Margen de seguridad:** ~67%</w:t>
      </w:r>
    </w:p>
    <w:p/>
    <w:p>
      <w:r>
        <w:t>NewPrinces S.p.A. cotiza con un descuento extraordinario respecto a su valor intrínseco estimado, incluso bajo supuestos conservadores. Tras la transformadora adquisición del grupo Princes y su cambio de nombre en 2025, el mercado aún no ha asimilado completamente la nueva escala del negocio. **Recomendación: Comprar con convicción**, con precio objetivo de $29,50 en escenario base, alineado con el consenso de analistas (rango $28,50–$30,50).</w:t>
      </w:r>
    </w:p>
    <w:p/>
    <w:p/>
    <w:p/>
    <w:p>
      <w:pPr>
        <w:pStyle w:val="Heading3"/>
      </w:pPr>
      <w:r>
        <w:t>El negocio</w:t>
      </w:r>
    </w:p>
    <w:p/>
    <w:p>
      <w:r>
        <w:t>NewPrinces S.p.A. (antes Newlat Food) es un consolidador europeo de alimentación empaquetada con sede en Reggio Emilia, Italia. Opera en Italia, Alemania, el Reino Unido e internacionalmente, con una cartera diversificada que abarca pasta, lácteos, panadería, conservas (legumbres, tomate, pescado), aceites, bebidas, comidas preparadas, alimenación infantil y alternativas vegetales.</w:t>
      </w:r>
    </w:p>
    <w:p/>
    <w:p>
      <w:r>
        <w:t>La empresa gestiona más de 40 marcas reconocidas, entre ellas **Princes** (conservas y atún en UK), **Napolina** (tomate y pasta en UK), **Branston** (legumbres en UK), **Flora** y **Mazola** (aceites), **Delverde** (pasta premium), **Mukki** (lácteos en Toscana), **Batchelors** (sopas y fideos instantáneos en UK) y **Ragu** (salsas). Esta diversificación geográfica y de categoría es un activo defensivo clave.</w:t>
      </w:r>
    </w:p>
    <w:p/>
    <w:p>
      <w:r>
        <w:t>**Ventajas competitivas (moat):**</w:t>
      </w:r>
    </w:p>
    <w:p>
      <w:pPr>
        <w:pStyle w:val="ListBullet"/>
      </w:pPr>
      <w:r>
        <w:t>**Escala y poder de negociación**: Tras superar los €1.600M de revenue, la compañía ha alcanzado masa crítica para negociar con grandes distribuidores y proveedores.</w:t>
      </w:r>
    </w:p>
    <w:p>
      <w:pPr>
        <w:pStyle w:val="ListBullet"/>
      </w:pPr>
      <w:r>
        <w:t>**Portafolio de marcas con fuerte arraigo local**: Varias marcas tienen posición de liderazgo en sus mercados (Princes en UK, Mukki en Toscana, Centrale del Latte en varios mercados italianos).</w:t>
      </w:r>
    </w:p>
    <w:p>
      <w:pPr>
        <w:pStyle w:val="ListBullet"/>
      </w:pPr>
      <w:r>
        <w:t>**Modelo de consolidación M&amp;A probado**: La empresa ha demostrado capacidad de integrar adquisiciones complejas (Princes Group, activos de Kraft Heinz baby food) generando sinergias reales.</w:t>
      </w:r>
    </w:p>
    <w:p>
      <w:pPr>
        <w:pStyle w:val="ListBullet"/>
      </w:pPr>
      <w:r>
        <w:t>**Sector Consumer Defensive**: Alimentación básica con demanda inelástica, resistente a ciclos económicos.</w:t>
      </w:r>
    </w:p>
    <w:p/>
    <w:p>
      <w:r>
        <w:t>El movimiento más relevante del periodo reciente fue la adquisición del **Princes Group** (completada en 2024), que literalmente duplicó los ingresos de la compañía de ~€793M a ~€1.641M. Además, en octubre 2025 Princes Group comenzó a cotizar en Londres con una valoración de £1.160M, lo que representa un activo cotizado dentro del perímetro consolidado de NewPrinces.</w:t>
      </w:r>
    </w:p>
    <w:p/>
    <w:p/>
    <w:p/>
    <w:p>
      <w:pPr>
        <w:pStyle w:val="Heading3"/>
      </w:pPr>
      <w:r>
        <w:t>Análisis financiero</w:t>
      </w:r>
    </w:p>
    <w:p/>
    <w:p>
      <w:r>
        <w:t>**Crecimiento de revenue: espectacular pero con matices**</w:t>
      </w:r>
    </w:p>
    <w:p/>
    <w:p>
      <w:r>
        <w:t>| Año | Revenue | Crecimiento YoY |</w:t>
      </w:r>
    </w:p>
    <w:p>
      <w:r>
        <w:t>|-----|---------|----------------|</w:t>
      </w:r>
    </w:p>
    <w:p>
      <w:r>
        <w:t>| 2021 | $556M | — |</w:t>
      </w:r>
    </w:p>
    <w:p>
      <w:r>
        <w:t>| 2022 | $741M | +33,3% |</w:t>
      </w:r>
    </w:p>
    <w:p>
      <w:r>
        <w:t>| 2023 | $793M | +7,0% |</w:t>
      </w:r>
    </w:p>
    <w:p>
      <w:r>
        <w:t>| 2024 | $1.641M | +106,9% |</w:t>
      </w:r>
    </w:p>
    <w:p/>
    <w:p>
      <w:r>
        <w:t>El salto de 2024 es fundamentalmente inorgánico (consolidación de Princes Group). El crecimiento orgánico subyacente es más modesto, en línea con el sector (~3-7% anual). Esto es relevante para interpretar las proyecciones: el modelo asume que el crecimiento futuro (18,2% en Y1) refleja tanto el efecto año completo de integraciones recientes como el crecimiento orgánico.</w:t>
      </w:r>
    </w:p>
    <w:p/>
    <w:p>
      <w:r>
        <w:t>**Márgenes: mejora estructural en curso**</w:t>
      </w:r>
    </w:p>
    <w:p/>
    <w:p>
      <w:r>
        <w:t>El margen bruto histórico promedio se sitúa en torno al **18,1%**, típico de alimentación empaquetada con marcas de valor medio. El margen EBITDA ha escalado del 8,6% en 2021 al **15,9% en 2024** ($261,7M sobre $1.641M), lo que indica que las adquisiciones se están integrando con mejora de eficiencias operativas. El margen neto del 9,6% en 2024 incluye efectos no recurrentes positivos (reconocimiento de valor en activos adquiridos); hay que tratar este dato con cautela.</w:t>
      </w:r>
    </w:p>
    <w:p/>
    <w:p>
      <w:r>
        <w:t>**Free Cash Flow: solidez inesperada**</w:t>
      </w:r>
    </w:p>
    <w:p/>
    <w:p>
      <w:r>
        <w:t>El FCF de 2024 fue extraordinariamente sólido: **$253M**, prácticamente equivalente al EBITDA declarado, lo que refleja una gestión eficiente del circulante post-adquisición. En años anteriores el FCF era mucho más irregular (apenas $2,3M en 2022 durante la fase de integración). Este nivel de FCF, de mantenerse, justifica por sí solo gran parte de la valoración.</w:t>
      </w:r>
    </w:p>
    <w:p/>
    <w:p>
      <w:r>
        <w:t>**Balance: deuda significativa pero manejable**</w:t>
      </w:r>
    </w:p>
    <w:p/>
    <w:p>
      <w:pPr>
        <w:pStyle w:val="ListBullet"/>
      </w:pPr>
      <w:r>
        <w:t>Deuda total: $1.273M</w:t>
      </w:r>
    </w:p>
    <w:p>
      <w:pPr>
        <w:pStyle w:val="ListBullet"/>
      </w:pPr>
      <w:r>
        <w:t>Caja: $455M</w:t>
      </w:r>
    </w:p>
    <w:p>
      <w:pPr>
        <w:pStyle w:val="ListBullet"/>
      </w:pPr>
      <w:r>
        <w:t>**Deuda neta: ~$818M**</w:t>
      </w:r>
    </w:p>
    <w:p>
      <w:pPr>
        <w:pStyle w:val="ListBullet"/>
      </w:pPr>
      <w:r>
        <w:t>Equity: $396M</w:t>
      </w:r>
    </w:p>
    <w:p>
      <w:pPr>
        <w:pStyle w:val="ListBullet"/>
      </w:pPr>
      <w:r>
        <w:t>Ratio deuda neta / EBITDA: ~3,1x</w:t>
      </w:r>
    </w:p>
    <w:p/>
    <w:p>
      <w:r>
        <w:t>El apalancamiento es elevado para el sector, consecuencia directa de las adquisiciones. Sin embargo, con un EBITDA de $262M y FCF de $253M, la compañía tiene capacidad de desapalancarse ~$200M+ por año. La reducción de deuda es un catalizador importante para la revalorización del equity. La cotización en Londres de Princes Group también podría utilizarse para reducir deuda o financiar nuevas operaciones.</w:t>
      </w:r>
    </w:p>
    <w:p/>
    <w:p/>
    <w:p/>
    <w:p>
      <w:pPr>
        <w:pStyle w:val="Heading3"/>
      </w:pPr>
      <w:r>
        <w:t>Valoración DCF</w:t>
      </w:r>
    </w:p>
    <w:p/>
    <w:p>
      <w:r>
        <w:t>**Metodología:**</w:t>
      </w:r>
    </w:p>
    <w:p>
      <w:r>
        <w:t>El modelo proyecta los ingresos futuros de NewPrinces aplicando tasas de crecimiento decrecientes (de ~18% en Y1 hasta ~11% en Y5 en el escenario base), reflejo de la maduración post-integración. Sobre ese revenue proyectado se aplican los **márgenes históricos promedio** de gross margin (18,1%), SGA, R&amp;D, D&amp;A e impuestos para llegar al **Unlevered Free Cash Flow (UFCF)**.</w:t>
      </w:r>
    </w:p>
    <w:p/>
    <w:p>
      <w:r>
        <w:t>Un supuesto clave: el **CapEx utilizado es solo el de mantenimiento** (aproximado por la depreciación). El CapEx de crecimiento —expansión de capacidad, infraestructura de integración, I+D capitalizado— **no se descuenta**, ya que su efecto está capturado en el propio crecimiento de revenue proyectado. En el caso de NewPrinces, dada su naturaleza de consolidador activo M&amp;A, la diferencia entre CapEx total real y mantenimiento puede ser material en años de integración; los inversores deben monitorizar que el CapEx de integración no exceda estructuralmente lo esperado.</w:t>
      </w:r>
    </w:p>
    <w:p/>
    <w:p>
      <w:r>
        <w:t>El **Terminal Value** se calcula mediante múltiplo de salida sobre EBITDA del último año proyectado (exit multiple por sector, no Gordon Growth), apropiado para un sector donde las transacciones M&amp;A en Consumer Defensive/Packaged Foods se ejecutan típicamente a 8-14x EBITDA.</w:t>
      </w:r>
    </w:p>
    <w:p/>
    <w:p>
      <w:r>
        <w:t>El **WACC** se calcula vía CAPM real con beta de 0,49 (reflejo del carácter defensivo del negocio), lo que arroja tasas de descuento relativamente bajas.</w:t>
      </w:r>
    </w:p>
    <w:p/>
    <w:p>
      <w:r>
        <w:t>**Escenarios:**</w:t>
      </w:r>
    </w:p>
    <w:p/>
    <w:p>
      <w:r>
        <w:t>| Escenario | Crec. Y1 | Crec. Y5 | Margen Bruto | WACC | Múltiplo TV | **Precio Objetivo** |</w:t>
      </w:r>
    </w:p>
    <w:p>
      <w:r>
        <w:t>|-----------|----------|----------|-------------|------|-------------|---------------------|</w:t>
      </w:r>
    </w:p>
    <w:p>
      <w:r>
        <w:t>| 🐻 Bajista | +12,7% | +7,6% | 16,1% | 7,27% | 9x | ~$15–18 |</w:t>
      </w:r>
    </w:p>
    <w:p>
      <w:r>
        <w:t>| 📊 Base | +18,2% | +10,9% | 18,1% | 5,27% | 12x | **~$29,50** |</w:t>
      </w:r>
    </w:p>
    <w:p>
      <w:r>
        <w:t>| 🐂 Alcista | +23,7% | +14,2% | 20,1% | 4,27% | 14x | ~$40+ |</w:t>
      </w:r>
    </w:p>
    <w:p/>
    <w:p>
      <w:r>
        <w:t>**¿Por qué es razonable el precio objetivo base de ~$29,50?**</w:t>
      </w:r>
    </w:p>
    <w:p/>
    <w:p>
      <w:r>
        <w:t>1. Implica un múltiplo EV/EBITDA de salida de 12x, que está en la mediana del sector Consumer Defensive europeo en transacciones comparables.</w:t>
      </w:r>
    </w:p>
    <w:p>
      <w:r>
        <w:t>2. El WACC del 5,27% es consistente con una beta baja (0,49), entorno de tipos en normalización y perfil defensivo del negocio.</w:t>
      </w:r>
    </w:p>
    <w:p>
      <w:r>
        <w:t>3. El consenso de analistas ($28,50–$30,50) valida independientemente este rango.</w:t>
      </w:r>
    </w:p>
    <w:p>
      <w:r>
        <w:t>4. Incluso en el escenario bajista (WACC +200 pb, márgenes comprimidos, múltiplo de 9x), el valor intrínseco está en el rango del precio actual, lo que limita el downside.</w:t>
      </w:r>
    </w:p>
    <w:p/>
    <w:p>
      <w:r>
        <w:t>El **margen de seguridad del 67%** respecto al precio base es excepcionalmente atractivo para un negocio de alimentación defensiva.</w:t>
      </w:r>
    </w:p>
    <w:p/>
    <w:p/>
    <w:p/>
    <w:p>
      <w:pPr>
        <w:pStyle w:val="Heading3"/>
      </w:pPr>
      <w:r>
        <w:t>Riesgos principales</w:t>
      </w:r>
    </w:p>
    <w:p/>
    <w:p>
      <w:r>
        <w:t>1. **Riesgo de integración y ejecución M&amp;A**: NewPrinces ha completado varias adquisiciones de gran tamaño en poco tiempo (Princes Group, activos baby food de Kraft Heinz, potencial operación con tiendas Carrefour Italia). La integración simultánea de múltiples negocios en diferentes países y culturas corporativas es compleja. Un fallo de integración podría deteriorar márgenes y FCF.</w:t>
      </w:r>
    </w:p>
    <w:p/>
    <w:p>
      <w:r>
        <w:t>2. **Apalancamiento elevado**: Con ~3,1x deuda neta/EBITDA, la compañía tiene poco margen para absorber shocks negativos (caída de márgenes, subida de tipos, crisis de demanda). Una refinanciación en condiciones adversas o un deterioro del FCF podría presionar significativamente el equity.</w:t>
      </w:r>
    </w:p>
    <w:p/>
    <w:p>
      <w:r>
        <w:t>3. **Normalización de FCF y márgenes**: El FCF extraordinariamente alto de 2024 ($253M) puede incluir efectos no recurrentes de la consolidación contable (reconocimiento de activos, ajustes de circulante). Si el FCF normalizado es sustancialmente inferior, la valoración necesitará revisión a la baja.</w:t>
      </w:r>
    </w:p>
    <w:p/>
    <w:p>
      <w:r>
        <w:t>4. **Riesgo de liquidez y free float reducido**: NewPrinces es subsidiaria de Newlat Group S.A., lo que implica que el free float disponible en el mercado puede ser limitado. Esto afecta a la liquidez del título y puede generar volatilidad desproporcionada. Además, la cotización en un mercado italiano de menor visibilidad puede mantener el descuento de valoración más tiempo del deseable.</w:t>
      </w:r>
    </w:p>
    <w:p/>
    <w:p/>
    <w:p/>
    <w:p>
      <w:pPr>
        <w:pStyle w:val="Heading3"/>
      </w:pPr>
      <w:r>
        <w:t>Catalizadores</w:t>
      </w:r>
    </w:p>
    <w:p/>
    <w:p>
      <w:r>
        <w:t>**Positivos (potencial upside en 12–24 meses):**</w:t>
      </w:r>
    </w:p>
    <w:p>
      <w:pPr>
        <w:pStyle w:val="ListBullet"/>
      </w:pPr>
      <w:r>
        <w:t>**Desapalancamiento acelerado**: Cada año de FCF robusto (~$200M+) reduce la deuda neta en ~0,7x EBITDA, mejorando el perfil crediticio y aumentando el valor del equity.</w:t>
      </w:r>
    </w:p>
    <w:p>
      <w:pPr>
        <w:pStyle w:val="ListBullet"/>
      </w:pPr>
      <w:r>
        <w:t>**Cotización de Princes Group en Londres**: Ya en marcha (octubre 2025), proporciona visibilidad de valor para uno de los principales activos del grupo y podría usarse para capital allocation estratégico.</w:t>
      </w:r>
    </w:p>
    <w:p>
      <w:pPr>
        <w:pStyle w:val="ListBullet"/>
      </w:pPr>
      <w:r>
        <w:t>**Sinergias post-integración**: A medida que se materializan las sinergias de compras (procurement), distribución y back-office entre los negocios italianos y británicos, los márgenes deberían expandirse hacia el 20%+ de margen bruto (escenario bull).</w:t>
      </w:r>
    </w:p>
    <w:p>
      <w:pPr>
        <w:pStyle w:val="ListBullet"/>
      </w:pPr>
      <w:r>
        <w:t>**Nueva adquisición transformadora**: El movimiento sobre tiendas Carrefour Italia (si se concreta) podría ser otro salto de escala, aunque también añade riesgo.</w:t>
      </w:r>
    </w:p>
    <w:p>
      <w:pPr>
        <w:pStyle w:val="ListBullet"/>
      </w:pPr>
      <w:r>
        <w:t>**Re-rating del mercado**: Si los resultados de 2025 confirman la sostenibilidad de los márgenes y el FCF, el descuento respecto a peers europeos (típicamente a 10-14x EBITDA) debería reducirse significativamente.</w:t>
      </w:r>
    </w:p>
    <w:p/>
    <w:p>
      <w:r>
        <w:t>**Negativos (riesgo de bajada):**</w:t>
      </w:r>
    </w:p>
    <w:p>
      <w:pPr>
        <w:pStyle w:val="ListBullet"/>
      </w:pPr>
      <w:r>
        <w:t>Revisión a la baja de resultados por costes de integración superiores a lo esperado.</w:t>
      </w:r>
    </w:p>
    <w:p>
      <w:pPr>
        <w:pStyle w:val="ListBullet"/>
      </w:pPr>
      <w:r>
        <w:t>Caída en el precio de las materias primas clave (aceite de oliva, trigo, atún) que, por paradoja, podría presionar precios de venta más que los costes en un entorno deflacionario.</w:t>
      </w:r>
    </w:p>
    <w:p>
      <w:pPr>
        <w:pStyle w:val="ListBullet"/>
      </w:pPr>
      <w:r>
        <w:t>Deterioro macroeconómico en Italia o UK que comprima el consumo en categorías de valor medio.</w:t>
      </w:r>
    </w:p>
    <w:p/>
    <w:p/>
    <w:p/>
    <w:p>
      <w:pPr>
        <w:pStyle w:val="Heading3"/>
      </w:pPr>
      <w:r>
        <w:t>Conclusión y plan de acción</w:t>
      </w:r>
    </w:p>
    <w:p/>
    <w:p>
      <w:r>
        <w:t>**NewPrinces es una de las situaciones de valor más interesantes del sector Consumer Defensive europeo en este momento.** La combinación de un precio que cotiza a apenas 2,9x EV/EBITDA (deuda neta $818M + market cap $745M = EV ~$1.563M sobre EBITDA $262M) con un negocio diversificado, defensivo y en plena fase de maduración post-integración es difícilmente justificable si los fundamentales se mantienen.</w:t>
      </w:r>
    </w:p>
    <w:p/>
    <w:p>
      <w:r>
        <w:t>**Recomendación: COMPRAR**</w:t>
      </w:r>
    </w:p>
    <w:p/>
    <w:p>
      <w:pPr>
        <w:pStyle w:val="ListBullet"/>
      </w:pPr>
      <w:r>
        <w:t>**Precio de entrada atractivo**: A cualquier precio por debajo de $20, el margen de seguridad es muy amplio.</w:t>
      </w:r>
    </w:p>
    <w:p>
      <w:pPr>
        <w:pStyle w:val="ListBullet"/>
      </w:pPr>
      <w:r>
        <w:t>**Precio objetivo a 18-24 meses**: $29,50 en escenario base (+67%), con potencial de $40+ si se materializan las sinergias previstas.</w:t>
      </w:r>
    </w:p>
    <w:p>
      <w:pPr>
        <w:pStyle w:val="ListBullet"/>
      </w:pPr>
      <w:r>
        <w:t>**Stop conceptual**: Por debajo de $14 (escenario bajista extremo), habría que revisar si la tesis de integración ha fallado materialmente.</w:t>
      </w:r>
    </w:p>
    <w:p>
      <w:pPr>
        <w:pStyle w:val="ListBullet"/>
      </w:pPr>
      <w:r>
        <w:t>**Tamaño de posición sugerido**: Dado el riesgo de liquidez y el apalancamiento, una posición del 3-5% de cartera es razonable; no concentrar en exceso hasta confirmar la sostenibilidad del FCF en resultados de 2025.</w:t>
      </w:r>
    </w:p>
    <w:p/>
    <w:p>
      <w:r>
        <w:t>El principal riesgo para el inversor value no es que el negocio valga menos de $17,62, sino que el mercado tarde en reconocer ese valor. Con catalizadores concretos como el IPO de Princes en Londres y la publicación de resultados anuales 2025, ese reconocimiento podría llegar antes de lo esperado.</w:t>
      </w:r>
    </w:p>
    <w:p/>
    <w:p/>
    <w:p/>
    <w:p>
      <w:r>
        <w:t>*Análisis generado el 16/03/2026. No constituye consejo de inversión. El inversor debe realizar su propia diligencia antes de tomar decisiones.*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