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NYY.F - NWF Group plc</w:t>
      </w:r>
    </w:p>
    <w:p/>
    <w:p>
      <w:pPr>
        <w:jc w:val="center"/>
      </w:pPr>
      <w:r>
        <w:rPr>
          <w:sz w:val="24"/>
        </w:rPr>
        <w:t>16 de March de 2026</w:t>
      </w:r>
    </w:p>
    <w:p>
      <w:r>
        <w:br w:type="page"/>
      </w:r>
    </w:p>
    <w:p>
      <w:pPr>
        <w:pStyle w:val="Heading2"/>
      </w:pPr>
      <w:r>
        <w:t>NYY.F — NWF Group plc | 🟡 ESPECULATIVA / VALOR CON RIESGO</w:t>
      </w:r>
    </w:p>
    <w:p/>
    <w:p/>
    <w:p/>
    <w:p>
      <w:pPr>
        <w:pStyle w:val="Heading3"/>
      </w:pPr>
      <w:r>
        <w:t>Resumen ejecutivo</w:t>
      </w:r>
    </w:p>
    <w:p/>
    <w:p>
      <w:r>
        <w:t>**Precio actual:** $1,53 | **Precio objetivo (base):** ~$2,85 | **Margen de seguridad estimado:** ~46%</w:t>
      </w:r>
    </w:p>
    <w:p/>
    <w:p>
      <w:r>
        <w:t>NWF Group es una empresa británica de distribución de combustibles, logística alimentaria y piensos agrícolas que cotiza con un descuento significativo respecto a su valor intrínseco estimado. Sin embargo, la tendencia decreciente de ingresos, márgenes muy ajustados y la naturaleza cíclica del negocio exigen cautela. **Recomendación: especulativamente atractiva para inversores con alta tolerancia al riesgo y horizonte de 2-3 años**, con entrada solo a precios actuales o inferiores.</w:t>
      </w:r>
    </w:p>
    <w:p/>
    <w:p/>
    <w:p/>
    <w:p>
      <w:pPr>
        <w:pStyle w:val="Heading3"/>
      </w:pPr>
      <w:r>
        <w:t>El negocio</w:t>
      </w:r>
    </w:p>
    <w:p/>
    <w:p>
      <w:r>
        <w:t>Fundada en 1871 y con sede en Nantwich (Reino Unido), NWF Group opera en tres segmentos:</w:t>
      </w:r>
    </w:p>
    <w:p/>
    <w:p>
      <w:pPr>
        <w:pStyle w:val="ListBullet"/>
      </w:pPr>
      <w:r>
        <w:t>**Fuels (principal):** Venta y distribución de combustibles domésticos, industriales y de carretera a través de una red de 27 depósitos en el Reino Unido. Es el motor del grupo y el segmento más expuesto a la volatilidad de precios del petróleo.</w:t>
      </w:r>
    </w:p>
    <w:p>
      <w:pPr>
        <w:pStyle w:val="ListBullet"/>
      </w:pPr>
      <w:r>
        <w:t>**Food:** Almacenamiento y distribución de productos de alimentación a supermercados y centros de distribución retail.</w:t>
      </w:r>
    </w:p>
    <w:p>
      <w:pPr>
        <w:pStyle w:val="ListBullet"/>
      </w:pPr>
      <w:r>
        <w:t>**Feeds:** Fabricación y venta de piensos animales y productos agrícolas.</w:t>
      </w:r>
    </w:p>
    <w:p/>
    <w:p>
      <w:r>
        <w:t>**¿Cuál es el moat?** La ventaja competitiva es modesta pero real: la red física de 27 depósitos representa una barrera de entrada logística en el mercado de distribución local de combustibles del Reino Unido, donde la escala y la proximidad geográfica son determinantes. No se trata de un negocio tecnológico ni de alta barrera intelectual, sino de un negocio de **infraestructura física, relaciones locales y eficiencia operativa**. El largo historial desde 1871 le otorga reconocimiento y contratos consolidados. Dicho esto, el poder de fijación de precios es limitado, ya que el combustible es esencialmente un commodity.</w:t>
      </w:r>
    </w:p>
    <w:p/>
    <w:p/>
    <w:p/>
    <w:p>
      <w:pPr>
        <w:pStyle w:val="Heading3"/>
      </w:pPr>
      <w:r>
        <w:t>Análisis financiero</w:t>
      </w:r>
    </w:p>
    <w:p/>
    <w:p>
      <w:r>
        <w:t>**Ingresos — tendencia a la baja tras el pico de 2023:**</w:t>
      </w:r>
    </w:p>
    <w:p/>
    <w:p>
      <w:r>
        <w:t>| Año | Revenue | EBITDA | FCF | Margen neto |</w:t>
      </w:r>
    </w:p>
    <w:p>
      <w:r>
        <w:t>|-----|---------|--------|-----|-------------|</w:t>
      </w:r>
    </w:p>
    <w:p>
      <w:r>
        <w:t>| 2022 | $878,6M | $27,2M | $26,5M | 0,96% |</w:t>
      </w:r>
    </w:p>
    <w:p>
      <w:r>
        <w:t>| 2023 | $1.053,9M | $35,9M | $29,3M | 1,41% |</w:t>
      </w:r>
    </w:p>
    <w:p>
      <w:r>
        <w:t>| 2024 | $950,6M | $31,4M | $10,6M | 0,96% |</w:t>
      </w:r>
    </w:p>
    <w:p>
      <w:r>
        <w:t>| 2025 | $903,1M | $31,9M | $19,9M | 0,69% |</w:t>
      </w:r>
    </w:p>
    <w:p/>
    <w:p>
      <w:r>
        <w:t>El pico de 2023 refleja el entorno de precios elevados del combustible post-crisis energética europea. La caída posterior es coherente con la normalización de precios. Lo preocupante no es tanto el descenso de ingresos —en un negocio de distribución de commodities, el revenue fluctúa con el precio del subyacente— sino la **compresión del margen neto** (de 1,41% en 2023 a apenas 0,69% en 2025) y la volatilidad del FCF (cayó a $10,6M en 2024 antes de recuperarse a $19,9M).</w:t>
      </w:r>
    </w:p>
    <w:p/>
    <w:p>
      <w:r>
        <w:t>**Márgenes:** Extremadamente ajustados. El margen bruto actual es del 5,6%, el operativo del 1,4% y el neto del 0,7%. Esto es característico del sector distribución de combustibles, pero deja muy poco margen de error operativo.</w:t>
      </w:r>
    </w:p>
    <w:p/>
    <w:p>
      <w:r>
        <w:t>**Balance:** La deuda total asciende a $64,8M frente a caja de $10,9M, lo que implica una deuda neta de ~$53,9M. Con un EBITDA de $31,9M, el ratio Deuda Neta/EBITDA es de aproximadamente **1,7x**, manejable pero no irrelevante para un negocio de márgenes tan finos. El equity contable es de $87,2M, lo que significa que la empresa cotiza a **0,9x valor en libros** — ya hay descuento en el precio de mercado.</w:t>
      </w:r>
    </w:p>
    <w:p/>
    <w:p>
      <w:r>
        <w:t>**Capitalización bursátil:** Solo $78,2M sobre un negocio que mueve más de $900M en ingresos, con un ratio Precio/Ventas de ~0,09x. Es casi invisible para los grandes inversores institucionales.</w:t>
      </w:r>
    </w:p>
    <w:p/>
    <w:p/>
    <w:p/>
    <w:p>
      <w:pPr>
        <w:pStyle w:val="Heading3"/>
      </w:pPr>
      <w:r>
        <w:t>Valoración DCF</w:t>
      </w:r>
    </w:p>
    <w:p/>
    <w:p>
      <w:r>
        <w:t>**Metodología aplicada:**</w:t>
      </w:r>
    </w:p>
    <w:p/>
    <w:p>
      <w:r>
        <w:t>El modelo proyecta los ingresos futuros a partir de tasas de crecimiento diferenciadas por escenario (desde caída en año 1 hasta leve recuperación en año 5), y aplica los márgenes históricos promedio (bruto, SGA, D&amp;A, impuestos) para llegar al **Unlevered Free Cash Flow (UFCF)**.</w:t>
      </w:r>
    </w:p>
    <w:p/>
    <w:p>
      <w:r>
        <w:t>Un detalle metodológico importante: el **CapEx utilizado es únicamente el de mantenimiento** (aproximado a la depreciación), ya que el CapEx de crecimiento se asume capturado en las proyecciones de crecimiento de ingresos. En el caso de NWF, dado que se trata de un negocio maduro de distribución con infraestructura física consolidada (red de depósitos), la diferencia entre CapEx total y CapEx de mantenimiento no debería ser excesivamente elevada, aunque en 2024 el FCF débil ($10,6M) sugiere un año con inversión en activos físicos por encima de lo habitual. El **Terminal Value** se calcula mediante múltiplo de salida sectorial (Energy/Distribution), no por Gordon Growth.</w:t>
      </w:r>
    </w:p>
    <w:p/>
    <w:p>
      <w:r>
        <w:t>El **WACC** se calcula vía CAPM real: con una beta de apenas 0,20 (negocio muy poco correlacionado con el mercado general), la tasa de descuento es inusualmente baja para el sector energético, lo que favorece la valoración.</w:t>
      </w:r>
    </w:p>
    <w:p/>
    <w:p>
      <w:r>
        <w:t>**Escenarios:**</w:t>
      </w:r>
    </w:p>
    <w:p/>
    <w:p>
      <w:r>
        <w:t>| Escenario | Crecimiento R. Año 1 | Crecimiento R. Año 5 | Margen Bruto | WACC | Múltiplo Terminal | Precio Objetivo Estimado |</w:t>
      </w:r>
    </w:p>
    <w:p>
      <w:r>
        <w:t>|-----------|---------------------|---------------------|--------------|------|-------------------|--------------------------|</w:t>
      </w:r>
    </w:p>
    <w:p>
      <w:r>
        <w:t>| 🐻 Bear | -6,3% | -2,3% | 10% | 7% | 5x EBITDA | ~$1,60 |</w:t>
      </w:r>
    </w:p>
    <w:p>
      <w:r>
        <w:t>| 📊 Base | -3,3% | +0,7% | 10% | 5% | 6x EBITDA | ~$2,85 |</w:t>
      </w:r>
    </w:p>
    <w:p>
      <w:r>
        <w:t>| 🐂 Bull | -0,3% | +3,7% | 10% | 4% | 8x EBITDA | ~$4,20 |</w:t>
      </w:r>
    </w:p>
    <w:p/>
    <w:p>
      <w:r>
        <w:t>**Observación crítica sobre los márgenes del modelo:** El modelo base utiliza un margen bruto del 10% para las proyecciones, frente al 5,6% actual. Esto refleja una **hipótesis de mejora operativa** —posiblemente por mix de negocio, eficiencias en distribución o menor volatilidad de costes energéticos. Si los márgenes se mantienen en el rango histórico reciente (5-6%), los precios objetivo serían materialmente más bajos. Este es el riesgo más importante de la tesis.</w:t>
      </w:r>
    </w:p>
    <w:p/>
    <w:p>
      <w:r>
        <w:t>**¿Por qué el precio objetivo base de ~$2,85 es razonable?** A $1,53, la empresa cotiza a 0,9x book value y a una fracción mínima de sus ingresos. Un múltiplo de 6x EBITDA para un negocio de distribución con historial de más de 150 años, red física consolidada y generación de caja positiva no es exigente. Incluso en el escenario bear ($1,60), el downside desde precio actual es mínimo, mientras que el upside en el escenario base duplica la inversión.</w:t>
      </w:r>
    </w:p>
    <w:p/>
    <w:p/>
    <w:p/>
    <w:p>
      <w:pPr>
        <w:pStyle w:val="Heading3"/>
      </w:pPr>
      <w:r>
        <w:t>Riesgos principales</w:t>
      </w:r>
    </w:p>
    <w:p/>
    <w:p>
      <w:r>
        <w:t>1. **Compresión estructural de márgenes:** El negocio de distribución de combustibles enfrenta presión crónica de márgenes. Si el entorno competitivo o los costes logísticos (combustible, mano de obra) se deterioran, el margen neto podría caer a territorio negativo en un mal año.</w:t>
      </w:r>
    </w:p>
    <w:p/>
    <w:p>
      <w:r>
        <w:t>2. **Transición energética y declive del combustible fósil:** El segmento Fuels —el más grande— está estructuralmente expuesto a la electrificación del transporte y la sustitución del gasóleo doméstico por bombas de calor. El horizonte es de décadas, no años, pero es un riesgo de valor terminal real.</w:t>
      </w:r>
    </w:p>
    <w:p/>
    <w:p>
      <w:r>
        <w:t>3. **Apalancamiento en entorno de tipos elevados:** Con deuda neta de ~$54M y un EBITDA de ~$32M, un endurecimiento de condiciones financieras o una caída de EBITDA simultánea podría tensar el balance de forma significativa.</w:t>
      </w:r>
    </w:p>
    <w:p/>
    <w:p>
      <w:r>
        <w:t>4. **Riesgo de liquidez y microcap:** Con una capitalización de solo $78M, NWF es prácticamente invisible para fondos institucionales. Esto limita los catalizadores de rerating y puede generar spreads bid/ask amplios, dificultando la entrada y salida en posiciones de tamaño.</w:t>
      </w:r>
    </w:p>
    <w:p/>
    <w:p/>
    <w:p/>
    <w:p>
      <w:pPr>
        <w:pStyle w:val="Heading3"/>
      </w:pPr>
      <w:r>
        <w:t>Catalizadores</w:t>
      </w:r>
    </w:p>
    <w:p/>
    <w:p>
      <w:r>
        <w:t>**Al alza (próximos 12-24 meses):**</w:t>
      </w:r>
    </w:p>
    <w:p>
      <w:pPr>
        <w:pStyle w:val="ListBullet"/>
      </w:pPr>
      <w:r>
        <w:t>**Recuperación de márgenes operativos** hacia la media histórica 2022-2023, impulsada por normalización de costes energéticos en el Reino Unido.</w:t>
      </w:r>
    </w:p>
    <w:p>
      <w:pPr>
        <w:pStyle w:val="ListBullet"/>
      </w:pPr>
      <w:r>
        <w:t>**Cobertura de analistas o interés institucional**: La empresa aparece reiteradamente en listas de "dividendos UK atractivos" — una mayor visibilidad podría comprimir el descuento respecto a peers.</w:t>
      </w:r>
    </w:p>
    <w:p>
      <w:pPr>
        <w:pStyle w:val="ListBullet"/>
      </w:pPr>
      <w:r>
        <w:t>**Adquisiciones estratégicas** que amplíen la red de depósitos o diversifiquen hacia distribución de energías alternativas (HVO, biocombustibles).</w:t>
      </w:r>
    </w:p>
    <w:p>
      <w:pPr>
        <w:pStyle w:val="ListBullet"/>
      </w:pPr>
      <w:r>
        <w:t>**Dividendo sostenible**: Si la empresa mantiene su política de dividendo, actúa como suelo de precio y atrae a inversores de renta en un contexto de tipos a la baja en el Reino Unido.</w:t>
      </w:r>
    </w:p>
    <w:p/>
    <w:p>
      <w:r>
        <w:t>**A la baja:**</w:t>
      </w:r>
    </w:p>
    <w:p>
      <w:pPr>
        <w:pStyle w:val="ListBullet"/>
      </w:pPr>
      <w:r>
        <w:t>Nueva caída de ingresos por reducción de precios del crudo combinada con menor volumen.</w:t>
      </w:r>
    </w:p>
    <w:p>
      <w:pPr>
        <w:pStyle w:val="ListBullet"/>
      </w:pPr>
      <w:r>
        <w:t>Deterioro del segmento Food (exposición al retail alimentario UK, sector bajo presión).</w:t>
      </w:r>
    </w:p>
    <w:p>
      <w:pPr>
        <w:pStyle w:val="ListBullet"/>
      </w:pPr>
      <w:r>
        <w:t>Revisión a la baja del dividendo por tensión de caja.</w:t>
      </w:r>
    </w:p>
    <w:p/>
    <w:p/>
    <w:p/>
    <w:p>
      <w:pPr>
        <w:pStyle w:val="Heading3"/>
      </w:pPr>
      <w:r>
        <w:t>Conclusión y plan de acción</w:t>
      </w:r>
    </w:p>
    <w:p/>
    <w:p>
      <w:r>
        <w:t>NWF Group es una empresa que, a primera vista, parece barata por casi cualquier métrica: cotiza por debajo de valor en libros, a menos de 0,1x ventas, con un FCF yield del ~25% sobre capitalización en el año más reciente. La tesis de valor es sencilla: **el mercado está descontando un deterioro permanente del negocio que, probablemente, no se materializará en esa magnitud**.</w:t>
      </w:r>
    </w:p>
    <w:p/>
    <w:p>
      <w:r>
        <w:t>Sin embargo, los riesgos son reales. Los márgenes son extremadamente finos, la tendencia de ingresos es descendente, la transición energética es un viento en contra estructural a largo plazo, y la iliquidez de la acción hace difícil construir posiciones de tamaño.</w:t>
      </w:r>
    </w:p>
    <w:p/>
    <w:p>
      <w:r>
        <w:t>**Recomendación:**</w:t>
      </w:r>
    </w:p>
    <w:p>
      <w:pPr>
        <w:pStyle w:val="ListBullet"/>
      </w:pPr>
      <w:r>
        <w:t>✅ **COMPRAR de forma especulativa** a precios iguales o inferiores a $1,53, con posición máxima del 2-3% de cartera dado el perfil de riesgo.</w:t>
      </w:r>
    </w:p>
    <w:p>
      <w:pPr>
        <w:pStyle w:val="ListBullet"/>
      </w:pPr>
      <w:r>
        <w:t>🎯 **Precio objetivo base:** $2,85 (horizonte 18-24 meses).</w:t>
      </w:r>
    </w:p>
    <w:p>
      <w:pPr>
        <w:pStyle w:val="ListBullet"/>
      </w:pPr>
      <w:r>
        <w:t>🛑 **Stop loss implícito:** Por debajo de $1,20 (donde el escenario bear se materializa claramente).</w:t>
      </w:r>
    </w:p>
    <w:p>
      <w:pPr>
        <w:pStyle w:val="ListBullet"/>
      </w:pPr>
      <w:r>
        <w:t>📌 **Revisar la tesis** si el EBITDA cae por debajo de $25M en el próximo ejercicio o si se anuncia un recorte de dividendo.</w:t>
      </w:r>
    </w:p>
    <w:p/>
    <w:p>
      <w:r>
        <w:t>Esta es una inversión para el inversor value paciente, con convicción en la normalización de márgenes y disposición a tolerar la volatilidad propia de un microcap UK en un sector desfavorecido por el consenso.</w:t>
      </w:r>
    </w:p>
    <w:p/>
    <w:p/>
    <w:p/>
    <w:p>
      <w:r>
        <w:t>*Análisis generado el 16/03/2026. No es consejo de inversión. Elaborado con fines exclusivamente informativos y educativos.*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