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OSCR - Oscar Health, Inc.</w:t>
      </w:r>
    </w:p>
    <w:p/>
    <w:p>
      <w:pPr>
        <w:jc w:val="center"/>
      </w:pPr>
      <w:r>
        <w:rPr>
          <w:sz w:val="24"/>
        </w:rPr>
        <w:t>12 de March de 2026</w:t>
      </w:r>
    </w:p>
    <w:p>
      <w:r>
        <w:br w:type="page"/>
      </w:r>
    </w:p>
    <w:p>
      <w:pPr>
        <w:pStyle w:val="Heading2"/>
      </w:pPr>
      <w:r>
        <w:t>OSCR — Oscar Health, Inc. | ⚠️ ESPECULATIVO / VIGILANCIA ACTIVA</w:t>
      </w:r>
    </w:p>
    <w:p/>
    <w:p/>
    <w:p/>
    <w:p>
      <w:pPr>
        <w:pStyle w:val="Heading3"/>
      </w:pPr>
      <w:r>
        <w:t>Resumen ejecutivo</w:t>
      </w:r>
    </w:p>
    <w:p/>
    <w:p>
      <w:r>
        <w:t>Oscar Health cotiza a **$13,40** por acción con una capitalización de mercado de ~$4.000M. Nuestro modelo DCF arroja un precio objetivo base de **~$15,40**, en línea con el consenso de analistas, lo que implica un margen de seguridad limitado (~15%) dado el perfil de riesgo elevado. La acción ha caído más del 34% desde sus máximos de 52 semanas, lo que ha generado interés especulativo, pero los fundamentos exigen cautela: la empresa reportó pérdidas operativas de $420M en 2025 tras haber alcanzado el umbral de rentabilidad en 2024, señal de que el camino hacia la rentabilidad sostenida es todavía incierto. **No recomendamos compra agresiva a precios actuales sin mayor visibilidad sobre márgenes; posición de vigilancia activa con entrada selectiva en el rango $11–12.**</w:t>
      </w:r>
    </w:p>
    <w:p/>
    <w:p/>
    <w:p/>
    <w:p>
      <w:pPr>
        <w:pStyle w:val="Heading3"/>
      </w:pPr>
      <w:r>
        <w:t>El negocio</w:t>
      </w:r>
    </w:p>
    <w:p/>
    <w:p>
      <w:r>
        <w:t>Oscar Health es una **insurtech** fundada en 2012 y con sede en Nueva York que opera planes de salud individuales, familiares y de pequeñas empresas principalmente a través del mercado de los Affordable Care Act (ACA) en Estados Unidos. A diferencia de los aseguradores tradicionales, Oscar integra tecnología propia —su plataforma **+Oscar**— para mejorar la experiencia del afiliado, gestionar mejor los costes médicos y, en teoría, lograr ratios de siniestralidad más bajos.</w:t>
      </w:r>
    </w:p>
    <w:p/>
    <w:p>
      <w:r>
        <w:t>**Modelo de negocio y ventajas competitivas:**</w:t>
      </w:r>
    </w:p>
    <w:p>
      <w:pPr>
        <w:pStyle w:val="ListBullet"/>
      </w:pPr>
      <w:r>
        <w:t>**Plataforma tecnológica integrada:** +Oscar combina navegación clínica, telemedicina, datos de reclamaciones y herramientas de engagement, lo que le permite vender su tecnología también a terceros (payors y proveedores), diversificando ingresos más allá del seguro puro.</w:t>
      </w:r>
    </w:p>
    <w:p>
      <w:pPr>
        <w:pStyle w:val="ListBullet"/>
      </w:pPr>
      <w:r>
        <w:t>**Foco en el mercado individual ACA:** Oscar ha concentrado su crecimiento en los exchanges estatales, donde la demanda ha sido especialmente robusta por las subvenciones ampliadas.</w:t>
      </w:r>
    </w:p>
    <w:p>
      <w:pPr>
        <w:pStyle w:val="ListBullet"/>
      </w:pPr>
      <w:r>
        <w:t>**Escala creciente:** Los ingresos han pasado de $4.100M en 2022 a $11.700M en 2025, multiplicando por casi 3x en tres años.</w:t>
      </w:r>
    </w:p>
    <w:p/>
    <w:p>
      <w:r>
        <w:t>Sin embargo, el **moat es débil comparado con grandes aseguradores** como UnitedHealth o Elevance. La diferenciación tecnológica es real pero fácilmente replicable por competidores con más capital. La ventaja competitiva sostenible depende de que la tecnología se traduzca consistentemente en menores Medical Loss Ratios (MLR), algo que 2025 ha puesto en entredicho.</w:t>
      </w:r>
    </w:p>
    <w:p/>
    <w:p/>
    <w:p/>
    <w:p>
      <w:pPr>
        <w:pStyle w:val="Heading3"/>
      </w:pPr>
      <w:r>
        <w:t>Análisis financiero</w:t>
      </w:r>
    </w:p>
    <w:p/>
    <w:p>
      <w:r>
        <w:t>**Crecimiento de ingresos — impresionante pero volátil:**</w:t>
      </w:r>
    </w:p>
    <w:p/>
    <w:p>
      <w:r>
        <w:t>| Año | Revenue | Crecimiento |</w:t>
      </w:r>
    </w:p>
    <w:p>
      <w:r>
        <w:t>|-----|---------|-------------|</w:t>
      </w:r>
    </w:p>
    <w:p>
      <w:r>
        <w:t>| 2022 | $4.126M | — |</w:t>
      </w:r>
    </w:p>
    <w:p>
      <w:r>
        <w:t>| 2023 | $5.863M | +42% |</w:t>
      </w:r>
    </w:p>
    <w:p>
      <w:r>
        <w:t>| 2024 | $9.178M | +57% |</w:t>
      </w:r>
    </w:p>
    <w:p>
      <w:r>
        <w:t>| 2025 | $11.701M | +27% |</w:t>
      </w:r>
    </w:p>
    <w:p/>
    <w:p>
      <w:r>
        <w:t>El ritmo de crecimiento es genuinamente notable —pocas compañías en seguros de salud han escalado tan rápido—, impulsado por la expansión de afiliados en el mercado individual ACA. La desaceleración al 27% en 2025 era esperada dado el tamaño de base.</w:t>
      </w:r>
    </w:p>
    <w:p/>
    <w:p>
      <w:r>
        <w:t>**Márgenes — el problema central:**</w:t>
      </w:r>
    </w:p>
    <w:p/>
    <w:p>
      <w:r>
        <w:t>El dato más preocupante es la **reversión a pérdidas en 2025**. Tras alcanzar rentabilidad operativa por primera vez en 2024 (EBITDA positivo de $89M, beneficio neto de $25M), Oscar volvió a reportar pérdidas significativas: EBITDA de -$391M y pérdida neta de -$443M en 2025. El margen operativo se deterioró desde +0,6% en 2024 hasta -3,6% en 2025.</w:t>
      </w:r>
    </w:p>
    <w:p/>
    <w:p>
      <w:r>
        <w:t>Las causas probables incluyen: (1) incremento en la siniestralidad médica por presiones en costes sanitarios del sector, (2) expansión agresiva hacia nuevos mercados con costes de entrada elevados, y (3) efecto de la mezcla de afiliados (posiblemente más costosos en 2025). Este es el riesgo estructural de los modelos de seguro de salud: la rentabilidad puede deteriorarse rápidamente con cambios en la siniestralidad.</w:t>
      </w:r>
    </w:p>
    <w:p/>
    <w:p>
      <w:r>
        <w:t>**Free Cash Flow — la anomalía positiva:**</w:t>
      </w:r>
    </w:p>
    <w:p/>
    <w:p>
      <w:r>
        <w:t>Curiosamente, el FCF fue **positivo en $1.058M en 2025** (y $950M en 2024), lo que parece contradictorio con las pérdidas contables. Esto se explica principalmente por el **float de primas**: los aseguradores cobran primas por adelantado y pagan siniestros con desfase, generando capital circulante positivo. Es importante no confundir este FCF de float con capacidad de generación de valor económico real —si la siniestralidad supera las primas, ese float desaparece.</w:t>
      </w:r>
    </w:p>
    <w:p/>
    <w:p>
      <w:r>
        <w:t>**Balance — sólido pero vigilar:**</w:t>
      </w:r>
    </w:p>
    <w:p>
      <w:pPr>
        <w:pStyle w:val="ListBullet"/>
      </w:pPr>
      <w:r>
        <w:t>Caja: **$2.774M** — posición de liquidez confortable</w:t>
      </w:r>
    </w:p>
    <w:p>
      <w:pPr>
        <w:pStyle w:val="ListBullet"/>
      </w:pPr>
      <w:r>
        <w:t>Deuda total: **$430M** — modesta en relación con los ingresos</w:t>
      </w:r>
    </w:p>
    <w:p>
      <w:pPr>
        <w:pStyle w:val="ListBullet"/>
      </w:pPr>
      <w:r>
        <w:t>Patrimonio neto: **$981M**</w:t>
      </w:r>
    </w:p>
    <w:p>
      <w:pPr>
        <w:pStyle w:val="ListBullet"/>
      </w:pPr>
      <w:r>
        <w:t>Posición neta de caja: ~$2.344M (~$8,94 por acción), lo que implica que el mercado valora el negocio operativo en apenas ~$4,46 por acción a precios actuales</w:t>
      </w:r>
    </w:p>
    <w:p/>
    <w:p/>
    <w:p/>
    <w:p>
      <w:pPr>
        <w:pStyle w:val="Heading3"/>
      </w:pPr>
      <w:r>
        <w:t>Valoración DCF</w:t>
      </w:r>
    </w:p>
    <w:p/>
    <w:p>
      <w:r>
        <w:t>**Metodología aplicada:**</w:t>
      </w:r>
    </w:p>
    <w:p/>
    <w:p>
      <w:r>
        <w:t>El modelo proyecta los ingresos futuros de Oscar durante 5 años y aplica márgenes históricos promedio para derivar el Unlevered Free Cash Flow (UFCF). Dado que Oscar es fundamentalmente un negocio de servicios / tecnología aseguradora con CapEx físico mínimo, el **CapEx de mantenimiento es prácticamente equivalente a la depreciación** (la compañía no tiene activos fijos intensivos). El CapEx de crecimiento —principalmente desarrollo de plataforma tecnológica y expansión de mercados— está capturado en las tasas de crecimiento proyectadas del revenue y no se resta explícitamente como un coste adicional. Esta distinción es relevante porque infla el FCF normalizado respecto al EBITDA reportado, por lo que los márgenes aplicados son conservadores para compensarlo.</w:t>
      </w:r>
    </w:p>
    <w:p/>
    <w:p>
      <w:r>
        <w:t>El **Valor Terminal** se calcula mediante múltiplo de salida sobre EBITDA del año 5 (múltiplo sectorial de Healthcare Plans), no mediante el modelo de Gordon Growth, lo que reduce la sensibilidad a supuestos de crecimiento a perpetuidad. El **WACC** se deriva vía CAPM con el beta de mercado de 1,90 (volátil, refleja el riesgo percibido de la acción).</w:t>
      </w:r>
    </w:p>
    <w:p/>
    <w:p>
      <w:r>
        <w:t>**Supuestos clave y escenarios:**</w:t>
      </w:r>
    </w:p>
    <w:p/>
    <w:p>
      <w:r>
        <w:t>| Parámetro | Bear | Base | Bull |</w:t>
      </w:r>
    </w:p>
    <w:p>
      <w:r>
        <w:t>|-----------|------|------|------|</w:t>
      </w:r>
    </w:p>
    <w:p>
      <w:r>
        <w:t>| Crecimiento revenue Año 1 | +12,1% | +17,3% | +22,5% |</w:t>
      </w:r>
    </w:p>
    <w:p>
      <w:r>
        <w:t>| Crecimiento revenue Año 5 | +7,3% | +10,4% | +13,5% |</w:t>
      </w:r>
    </w:p>
    <w:p>
      <w:r>
        <w:t>| Margen bruto estabilizado | 38% | 40% | 42% |</w:t>
      </w:r>
    </w:p>
    <w:p>
      <w:r>
        <w:t>| WACC | 15,7% | 13,7% | 12,7% |</w:t>
      </w:r>
    </w:p>
    <w:p>
      <w:r>
        <w:t>| Múltiplo terminal (EV/EBITDA) | 13x | 16x | 18x |</w:t>
      </w:r>
    </w:p>
    <w:p>
      <w:r>
        <w:t>| **Precio objetivo implícito** | ~**$10** | ~**$15,40** | ~**$23** |</w:t>
      </w:r>
    </w:p>
    <w:p/>
    <w:p>
      <w:r>
        <w:t>El escenario **base** asume que Oscar recupera gradualmente márgenes operativos positivos —reflejando el potencial de la plataforma tecnológica y la escala alcanzada— y crece a tasas del 10-17% anual. A 13,7% de WACC (beta alto ajustado por el perfil de riesgo real), el precio objetivo de $15,40 ofrece un margen de seguridad del 15% respecto al precio actual.</w:t>
      </w:r>
    </w:p>
    <w:p/>
    <w:p>
      <w:r>
        <w:t>El escenario **bull** ($23) requiere expansión sostenida de márgenes hacia el 42%, aceleración del crecimiento y compresión del WACC a medida que la empresa demuestre estabilidad —alcanzable si la plataforma +Oscar gana tracción como negocio B2B.</w:t>
      </w:r>
    </w:p>
    <w:p/>
    <w:p>
      <w:r>
        <w:t>El escenario **bear** ($10) implica deterioro adicional de márgenes, crecimiento decepcionante y/o un entorno regulatorio adverso en los exchanges ACA. A $13,40 actuales, el downside al escenario bear es del ~25%, lo que limita la asimetría riesgo/retorno.</w:t>
      </w:r>
    </w:p>
    <w:p/>
    <w:p>
      <w:r>
        <w:t>**La caja neta de $2.344M (~$8,94/acción) actúa como suelo relativo**, aunque no absoluto en un negocio con pérdidas operativas que puede consumirla.</w:t>
      </w:r>
    </w:p>
    <w:p/>
    <w:p/>
    <w:p/>
    <w:p>
      <w:pPr>
        <w:pStyle w:val="Heading3"/>
      </w:pPr>
      <w:r>
        <w:t>Riesgos principales</w:t>
      </w:r>
    </w:p>
    <w:p/>
    <w:p>
      <w:r>
        <w:t>1. **Deterioro de Medical Loss Ratio (MLR):** El riesgo más inmediato. Si la siniestralidad supera el 85-90% de las primas ingresadas de forma sostenida, el modelo de negocio pierde viabilidad económica. El retroceso a pérdidas en 2025 sugiere que este riesgo es real y no teórico. Cambios en la composición de la base de afiliados (adverse selection) o inflación médica persistente son los desencadenantes principales.</w:t>
      </w:r>
    </w:p>
    <w:p/>
    <w:p>
      <w:r>
        <w:t>2. **Riesgo regulatorio / político en el mercado ACA:** El negocio de Oscar depende estructuralmente de los exchanges creados por la Ley del Cuidado de Salud Asequible y de las subvenciones federales que hacen los planes accesibles. Cualquier reducción en dichas subvenciones o cambios legislativos en la administración Trump podría reducir drásticamente la base de afiliados y los ingresos.</w:t>
      </w:r>
    </w:p>
    <w:p/>
    <w:p>
      <w:r>
        <w:t>3. **Competencia y presión de precios:** Los grandes aseguradores (UnitedHealth, BCBS, Centene) tienen ventajas de escala masivas en negociación con proveedores. Si compiten agresivamente en precio en los mercados donde opera Oscar, los márgenes se comprimirían aún más. La diferenciación tecnológica por sí sola no garantiza ventaja de precio.</w:t>
      </w:r>
    </w:p>
    <w:p/>
    <w:p>
      <w:r>
        <w:t>4. **Ejecución del negocio B2B (+Oscar):** La diversificación hacia servicios tecnológicos para terceros es estratégicamente atractiva pero aún no materializada a escala. Si esta línea no gana tracción, Oscar seguirá siendo fundamentalmente un asegurador especializado con márgenes ajustados, no una tech company con valoraciones premium.</w:t>
      </w:r>
    </w:p>
    <w:p/>
    <w:p/>
    <w:p/>
    <w:p>
      <w:pPr>
        <w:pStyle w:val="Heading3"/>
      </w:pPr>
      <w:r>
        <w:t>Catalizadores</w:t>
      </w:r>
    </w:p>
    <w:p/>
    <w:p>
      <w:r>
        <w:t>**Alcistas (12-24 meses):**</w:t>
      </w:r>
    </w:p>
    <w:p>
      <w:pPr>
        <w:pStyle w:val="ListBullet"/>
      </w:pPr>
      <w:r>
        <w:t>**Recuperación de márgenes en 2026:** Si los resultados del Q1 2026 muestran una normalización del MLR y retorno a la rentabilidad operativa, podría desencadenar una revalorización significativa. Es el catalizador de mayor impacto.</w:t>
      </w:r>
    </w:p>
    <w:p>
      <w:pPr>
        <w:pStyle w:val="ListBullet"/>
      </w:pPr>
      <w:r>
        <w:t>**Estabilidad regulatoria ACA:** Cualquier señal de que las subvenciones de los exchanges se mantienen o amplían reforzaría la tesis de crecimiento.</w:t>
      </w:r>
    </w:p>
    <w:p>
      <w:pPr>
        <w:pStyle w:val="ListBullet"/>
      </w:pPr>
      <w:r>
        <w:t>**Anuncio de contratos significativos para +Oscar:** Un acuerdo relevante con un gran payor o proveedor para licenciar la plataforma validaría la tesis tecnológica y abriría una nueva fuente de ingresos de alto margen.</w:t>
      </w:r>
    </w:p>
    <w:p>
      <w:pPr>
        <w:pStyle w:val="ListBullet"/>
      </w:pPr>
      <w:r>
        <w:t>**Potencial M&amp;A:** El balance sólido y la plataforma tecnológica hacen a Oscar un objetivo de adquisición atractivo para actores sanitarios más grandes.</w:t>
      </w:r>
    </w:p>
    <w:p/>
    <w:p>
      <w:r>
        <w:t>**Bajistas:**</w:t>
      </w:r>
    </w:p>
    <w:p>
      <w:pPr>
        <w:pStyle w:val="ListBullet"/>
      </w:pPr>
      <w:r>
        <w:t>Nuevos datos de siniestralidad elevada en 2026 o guidance de pérdidas aceleradas.</w:t>
      </w:r>
    </w:p>
    <w:p>
      <w:pPr>
        <w:pStyle w:val="ListBullet"/>
      </w:pPr>
      <w:r>
        <w:t>Eliminación o reducción sustancial de las subvenciones ACA.</w:t>
      </w:r>
    </w:p>
    <w:p>
      <w:pPr>
        <w:pStyle w:val="ListBullet"/>
      </w:pPr>
      <w:r>
        <w:t>Ampliación de capital dilutiva ante pérdidas sostenidas.</w:t>
      </w:r>
    </w:p>
    <w:p/>
    <w:p/>
    <w:p/>
    <w:p>
      <w:pPr>
        <w:pStyle w:val="Heading3"/>
      </w:pPr>
      <w:r>
        <w:t>Conclusión y plan de acción</w:t>
      </w:r>
    </w:p>
    <w:p/>
    <w:p>
      <w:r>
        <w:t>Oscar Health es un caso de **alto riesgo, potencial moderado**. La historia de crecimiento es real —pasar de $4.100M a $11.700M en tres años es extraordinario para un asegurador— y la plataforma tecnológica tiene valor estratégico. Sin embargo, la **recaída en pérdidas operativas importantes en 2025** (-$420M de resultado operativo) después de haber tocado la rentabilidad en 2024 es una señal de alarma que no debe minimizarse. El mercado de seguros de salud individual en EE.UU. es estructuralmente complicado, con presiones de costes difíciles de controlar.</w:t>
      </w:r>
    </w:p>
    <w:p/>
    <w:p>
      <w:r>
        <w:t>**Recomendación: NO COMPRAR a precios actuales; VIGILANCIA ACTIVA con posición especulativa pequeña posible.**</w:t>
      </w:r>
    </w:p>
    <w:p/>
    <w:p>
      <w:pPr>
        <w:pStyle w:val="ListBullet"/>
      </w:pPr>
      <w:r>
        <w:t>**Precio de entrada interesante:** $11,00–$12,00, donde la posición neta de caja (~$8,94/acción) proporciona mayor amortiguación y el perfil riesgo/retorno mejora materialmente.</w:t>
      </w:r>
    </w:p>
    <w:p>
      <w:pPr>
        <w:pStyle w:val="ListBullet"/>
      </w:pPr>
      <w:r>
        <w:t>**Precio objetivo base:** $15,40 (upside del 15% desde $13,40 — insuficiente para el riesgo asumido).</w:t>
      </w:r>
    </w:p>
    <w:p>
      <w:pPr>
        <w:pStyle w:val="ListBullet"/>
      </w:pPr>
      <w:r>
        <w:t>**Precio objetivo bull:** $23,00 (upside del 72% — atractivo, pero condicionado a ejecución impecable).</w:t>
      </w:r>
    </w:p>
    <w:p>
      <w:pPr>
        <w:pStyle w:val="ListBullet"/>
      </w:pPr>
      <w:r>
        <w:t>**Stop loss referencial:** Cierre sostenido por debajo de $10,00 implicaría deterioro fundamental y revisión a la baja de la tesis.</w:t>
      </w:r>
    </w:p>
    <w:p/>
    <w:p>
      <w:r>
        <w:t>Para inversores con alta tolerancia al riesgo y horizonte de 18-24 meses, una **posición especulativa menor al 2-3% de cartera** en niveles de $11-12 podría ser razonable, con el catalizador claro de resultados Q1/Q2 2026 como punto de confirmación o abandono de la tesis.</w:t>
      </w:r>
    </w:p>
    <w:p/>
    <w:p/>
    <w:p>
      <w:r>
        <w:t>*Análisis generado el 12/03/2026. No constituye consejo de inversión. El inversor debe realizar su propia diligencia debida antes de tomar cualquier decisión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