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jc w:val="center"/>
      </w:pPr>
      <w:r>
        <w:rPr>
          <w:b/>
          <w:color w:val="1F4E79"/>
          <w:sz w:val="48"/>
        </w:rPr>
        <w:t>TESIS DE INVERSION</w:t>
      </w:r>
    </w:p>
    <w:p>
      <w:pPr>
        <w:jc w:val="center"/>
      </w:pPr>
      <w:r>
        <w:rPr>
          <w:color w:val="2E74B5"/>
          <w:sz w:val="32"/>
        </w:rPr>
        <w:t>PYPL - PayPal Holdings, Inc.</w:t>
      </w:r>
    </w:p>
    <w:p/>
    <w:p>
      <w:pPr>
        <w:jc w:val="center"/>
      </w:pPr>
      <w:r>
        <w:rPr>
          <w:sz w:val="24"/>
        </w:rPr>
        <w:t>17 de March de 2026</w:t>
      </w:r>
    </w:p>
    <w:p>
      <w:r>
        <w:br w:type="page"/>
      </w:r>
    </w:p>
    <w:p>
      <w:pPr>
        <w:pStyle w:val="Heading2"/>
      </w:pPr>
      <w:r>
        <w:t>PYPL — PayPal Holdings, Inc. | 🟡 COMPRA ESPECULATIVA</w:t>
      </w:r>
    </w:p>
    <w:p/>
    <w:p/>
    <w:p/>
    <w:p>
      <w:pPr>
        <w:pStyle w:val="Heading3"/>
      </w:pPr>
      <w:r>
        <w:t>Resumen ejecutivo</w:t>
      </w:r>
    </w:p>
    <w:p/>
    <w:p>
      <w:r>
        <w:t>**Precio actual:** $45.42 | **Precio objetivo (base):** ~$62 | **Margen de seguridad estimado:** ~27%</w:t>
      </w:r>
    </w:p>
    <w:p>
      <w:r>
        <w:t>**Recomendación:** PayPal cotiza a niveles que descuentan un deterioro estructural que los fundamentales no confirman plenamente. Con un FCF de $5.5B y una capitalización bursátil de $42.5B, el mercado paga apenas ~7.5x FCF por un negocio que sigue creciendo y generando caja abundante. Se trata de una oportunidad asimétrica, aunque condicionada a la capacidad del nuevo equipo directivo de reactivar el crecimiento del TPV (Volumen Total de Pagos).</w:t>
      </w:r>
    </w:p>
    <w:p/>
    <w:p/>
    <w:p/>
    <w:p>
      <w:pPr>
        <w:pStyle w:val="Heading3"/>
      </w:pPr>
      <w:r>
        <w:t>El negocio</w:t>
      </w:r>
    </w:p>
    <w:p/>
    <w:p>
      <w:r>
        <w:t>PayPal opera la mayor red de pagos digitales independiente del mundo, conectando a más de 400 millones de usuarios activos con millones de comerciantes. Su ecosistema incluye marcas como **PayPal, Venmo, Braintree, Xoom, Honey y Paidy**, cubriendo pagos online, transferencias P2P, crédito al consumo y, en menor medida, criptomonedas.</w:t>
      </w:r>
    </w:p>
    <w:p/>
    <w:p>
      <w:r>
        <w:t>La principal ventaja competitiva de PayPal es su **red de doble cara a escala**: cuantos más consumidores usan PayPal, más lo aceptan los comerciantes, y viceversa. Este efecto de red, combinado con la confianza de marca construida durante dos décadas, crea una barrera de entrada significativa. Braintree, su gateway para grandes e-commerce, y Venmo, el líder en P2P entre millennials en EE.UU., añaden vectores de crecimiento diferenciados.</w:t>
      </w:r>
    </w:p>
    <w:p/>
    <w:p>
      <w:r>
        <w:t>Sin embargo, el moat no es inexpugnable. Apple Pay, Google Pay, Stripe y los propios sistemas de pago de grandes retailers (Amazon Pay) erosionan la cuota progresivamente. PayPal ha dejado de ser la única opción "de confianza" en el checkout online.</w:t>
      </w:r>
    </w:p>
    <w:p/>
    <w:p/>
    <w:p/>
    <w:p>
      <w:pPr>
        <w:pStyle w:val="Heading3"/>
      </w:pPr>
      <w:r>
        <w:t>Análisis financiero</w:t>
      </w:r>
    </w:p>
    <w:p/>
    <w:p>
      <w:r>
        <w:t>**Crecimiento de ingresos — sólido pero decelerado:**</w:t>
      </w:r>
    </w:p>
    <w:p>
      <w:r>
        <w:t>Los ingresos han crecido de manera consistente: $27.5B (2022) → $29.8B (2023) → $31.8B (2024) → $33.2B (2025), lo que implica un CAGR de aproximadamente **6.4%** en tres años. La desaceleración es visible: el crecimiento pasó de ~8.2% en 2023 a ~6.8% en 2024 y ~4.3% en 2025. El mercado castiga duramente esta trayectoria.</w:t>
      </w:r>
    </w:p>
    <w:p/>
    <w:p>
      <w:r>
        <w:t>**Márgenes — la gran historia positiva:**</w:t>
      </w:r>
    </w:p>
    <w:p>
      <w:r>
        <w:t>| Métrica | 2022 | 2023 | 2024 | 2025 |</w:t>
      </w:r>
    </w:p>
    <w:p>
      <w:r>
        <w:t>|---|---|---|---|---|</w:t>
      </w:r>
    </w:p>
    <w:p>
      <w:r>
        <w:t>| EBITDA | $5.0B | $6.8B | $6.7B | $7.7B |</w:t>
      </w:r>
    </w:p>
    <w:p>
      <w:r>
        <w:t>| Op. Income | $4.0B | $4.9B | $5.8B | $6.4B |</w:t>
      </w:r>
    </w:p>
    <w:p>
      <w:r>
        <w:t>| Net Income | $2.4B | $4.2B | $4.1B | $5.2B |</w:t>
      </w:r>
    </w:p>
    <w:p>
      <w:r>
        <w:t>| FCF | $5.1B | $4.2B | $6.8B | $5.6B |</w:t>
      </w:r>
    </w:p>
    <w:p/>
    <w:p>
      <w:r>
        <w:t>El margen operativo ha escalado del **14.7% en 2022 al 19.3% en 2025**, una expansión de más de 450 puntos básicos en tres años. Esto refleja la disciplina de costes del CEO Alex Chriss (incorporado en 2023), que ha priorizado la rentabilidad sobre el crecimiento a cualquier precio.</w:t>
      </w:r>
    </w:p>
    <w:p/>
    <w:p>
      <w:r>
        <w:t>**Balance — razonablemente sólido:**</w:t>
      </w:r>
    </w:p>
    <w:p>
      <w:r>
        <w:t>La deuda total asciende a $9.99B frente a una caja de $8.05B, lo que arroja una **deuda neta de apenas ~$1.9B** — insignificante para un negocio que genera más de $5.5B de FCF anual. El ratio Deuda Neta/EBITDA es inferior a 0.3x. PayPal ha destinado gran parte del FCF a recompras de acciones agresivas, reduciendo el share count de forma significativa en los últimos años.</w:t>
      </w:r>
    </w:p>
    <w:p/>
    <w:p>
      <w:r>
        <w:t>**FCF consistente:** El promedio de los cuatro últimos años es de ~$5.4B anuales, con el pico en 2024 ($6.8B). A los precios actuales, la empresa genera un **FCF yield del ~13%**, nivel históricamente asociado a acciones profundamente infravaloradas o en declive terminal. PayPal no está en declive terminal.</w:t>
      </w:r>
    </w:p>
    <w:p/>
    <w:p/>
    <w:p/>
    <w:p>
      <w:pPr>
        <w:pStyle w:val="Heading3"/>
      </w:pPr>
      <w:r>
        <w:t>Valoración DCF</w:t>
      </w:r>
    </w:p>
    <w:p/>
    <w:p>
      <w:r>
        <w:t>**Metodología aplicada:**</w:t>
      </w:r>
    </w:p>
    <w:p>
      <w:r>
        <w:t>El modelo proyecta el revenue futuro aplicando tasas de crecimiento decrecientes y aplica sobre ellas los **márgenes históricos promedio** (gross ~47%, SG&amp;A, R&amp;D, D&amp;A y tasa impositiva efectiva) para llegar al Unlevered Free Cash Flow (UFCF). El **CapEx utilizado es de mantenimiento** (equivalente aproximadamente a la depreciación y amortización), excluyendo el CapEx de crecimiento dado que este ya está implícito en las tasas de crecimiento de revenue proyectadas. Cabe notar que PayPal es un negocio ligero en activos físicos y su CapEx total real no difiere dramáticamente del de mantenimiento, por lo que este ajuste no es especialmente agresivo. El **Valor Terminal** se calcula mediante múltiplo de salida sobre EBITDA por sector (Servicios Financieros/Fintech), no mediante Gordon Growth. El **WACC** se ha estimado vía CAPM con beta de 1.46, prima de riesgo de mercado y tasa libre de riesgo real.</w:t>
      </w:r>
    </w:p>
    <w:p/>
    <w:p>
      <w:r>
        <w:t>**Tres escenarios:**</w:t>
      </w:r>
    </w:p>
    <w:p/>
    <w:p>
      <w:r>
        <w:t>| Escenario | Crecimiento Y1→Y5 | Margen Bruto | WACC | Múltiplo Terminal | Precio Objetivo Est. |</w:t>
      </w:r>
    </w:p>
    <w:p>
      <w:r>
        <w:t>|---|---|---|---|---|---|</w:t>
      </w:r>
    </w:p>
    <w:p>
      <w:r>
        <w:t>| 🐻 **Bear** | 0.7% → 0.4% | 45.2% | 12.6% | 7x EBITDA | ~$32-35 |</w:t>
      </w:r>
    </w:p>
    <w:p>
      <w:r>
        <w:t>| ⚖️ **Base** | 3.7% → 2.2% | 47.2% | 10.6% | 10x EBITDA | ~$58-65 |</w:t>
      </w:r>
    </w:p>
    <w:p>
      <w:r>
        <w:t>| 🐂 **Bull** | 6.7% → 4.0% | 49.2% | 9.6% | 12x EBITDA | ~$85-95 |</w:t>
      </w:r>
    </w:p>
    <w:p/>
    <w:p>
      <w:r>
        <w:t>**Precio objetivo ponderado (60% base / 25% bear / 15% bull):** ~**$55-60**</w:t>
      </w:r>
    </w:p>
    <w:p/>
    <w:p>
      <w:r>
        <w:t>El escenario base es conservador: asume que PayPal continúa perdiendo cuota en velocidad, pero no colapsa. Con un múltiplo de salida de 10x EBITDA sobre un negocio que genera ~$8B de EBITDA normalizado en 5 años, el precio objetivo de ~$62 implica un margen de seguridad del **~27%** sobre el precio actual de $45.42. El escenario bear (múltiplo 7x, crecimiento casi cero) asigna un precio en torno a los $32-35, que coincide con el target más bajo de los analistas — pero requiere una tesis de deterioro estructural que los datos aún no confirman.</w:t>
      </w:r>
    </w:p>
    <w:p/>
    <w:p>
      <w:r>
        <w:t>Vale destacar que el consenso de analistas sitúa el precio medio en **$50.2**, con un rango entre $32 y $100. El reciente rating "Neutral" de BofA con precio objetivo de $48 refleja la cautela del mercado institucional.</w:t>
      </w:r>
    </w:p>
    <w:p/>
    <w:p/>
    <w:p/>
    <w:p>
      <w:pPr>
        <w:pStyle w:val="Heading3"/>
      </w:pPr>
      <w:r>
        <w:t>Riesgos principales</w:t>
      </w:r>
    </w:p>
    <w:p/>
    <w:p>
      <w:r>
        <w:t>1. **Pérdida acelerada de cuota en checkout:** Apple Pay y Google Pay están integrados nativamente en iOS/Android. Si los grandes e-commerce reducen su exposición a PayPal en favor de wallets nativas, el TPV y los ingresos por take-rate se verían directamente afectados. Es el riesgo existencial número uno.</w:t>
      </w:r>
    </w:p>
    <w:p/>
    <w:p>
      <w:r>
        <w:t>2. **Presión en márgenes por competencia en Braintree:** Braintree compite en precio contra Stripe y Adyen. Si la guerra de precios se intensifica, la expansión de márgenes podría revertirse, dañando la tesis de rentabilidad precisamente cuando el crecimiento ya es modesto.</w:t>
      </w:r>
    </w:p>
    <w:p/>
    <w:p>
      <w:r>
        <w:t>3. **Regulación de pagos digitales y BNPL:** Cambios regulatorios en EE.UU. o Europa sobre crédito al consumo, comisiones de interchange o stablecoins podrían impactar segmentos clave. PayPal Credit y las funcionalidades cripto son áreas de escrutinio regulatorio creciente.</w:t>
      </w:r>
    </w:p>
    <w:p/>
    <w:p>
      <w:r>
        <w:t>4. **Ejecución del turnaround bajo nuevo CEO:** Alex Chriss llevan menos de tres años en el cargo. La estrategia de "profitable growth" es correcta sobre el papel, pero la reactivación del crecimiento del TPV (el indicador que el mercado mira) no se ha materializado con la velocidad esperada. El riesgo de ejecución es real.</w:t>
      </w:r>
    </w:p>
    <w:p/>
    <w:p/>
    <w:p/>
    <w:p>
      <w:pPr>
        <w:pStyle w:val="Heading3"/>
      </w:pPr>
      <w:r>
        <w:t>Catalizadores</w:t>
      </w:r>
    </w:p>
    <w:p/>
    <w:p>
      <w:r>
        <w:t>**Al alza (12-24 meses):**</w:t>
      </w:r>
    </w:p>
    <w:p>
      <w:pPr>
        <w:pStyle w:val="ListBullet"/>
      </w:pPr>
      <w:r>
        <w:t>**Aceleración del crecimiento del TPV:** Si PayPal consigue mostrar reactivación orgánica del volumen de pagos en los próximos 2-3 trimestres, el re-rating múltiplo podría ser brusco y rápido.</w:t>
      </w:r>
    </w:p>
    <w:p>
      <w:pPr>
        <w:pStyle w:val="ListBullet"/>
      </w:pPr>
      <w:r>
        <w:t>**Monetización de Venmo:** Venmo aún está significativamente submonetizado. El despliegue de publicidad, Venmo Credit Card y funcionalidades B2B podría añadir cientos de millones en ingresos incrementales.</w:t>
      </w:r>
    </w:p>
    <w:p>
      <w:pPr>
        <w:pStyle w:val="ListBullet"/>
      </w:pPr>
      <w:r>
        <w:t>**Programa de recompras:** Con un balance saneado y FCF elevado, las recompras continuarán reduciendo el share count, actuando como "suelo" para el precio.</w:t>
      </w:r>
    </w:p>
    <w:p>
      <w:pPr>
        <w:pStyle w:val="ListBullet"/>
      </w:pPr>
      <w:r>
        <w:t>**Adopción de stablecoins/PYUSD:** Si el entorno regulatorio cripto se clarifica (MOU SEC-CFTC es una señal positiva), PYUSD podría ganar tracción como herramienta de pagos cross-border de bajo coste.</w:t>
      </w:r>
    </w:p>
    <w:p/>
    <w:p>
      <w:r>
        <w:t>**A la baja:**</w:t>
      </w:r>
    </w:p>
    <w:p>
      <w:pPr>
        <w:pStyle w:val="ListBullet"/>
      </w:pPr>
      <w:r>
        <w:t>Decepción en las guías de TPV en resultados Q1 2026.</w:t>
      </w:r>
    </w:p>
    <w:p>
      <w:pPr>
        <w:pStyle w:val="ListBullet"/>
      </w:pPr>
      <w:r>
        <w:t>Pérdida de grandes clientes de Braintree.</w:t>
      </w:r>
    </w:p>
    <w:p>
      <w:pPr>
        <w:pStyle w:val="ListBullet"/>
      </w:pPr>
      <w:r>
        <w:t>Corrección de mercado amplia que afecte desproporcionadamente a valores de alto beta (beta = 1.46).</w:t>
      </w:r>
    </w:p>
    <w:p/>
    <w:p/>
    <w:p/>
    <w:p>
      <w:pPr>
        <w:pStyle w:val="Heading3"/>
      </w:pPr>
      <w:r>
        <w:t>Conclusión y plan de acción</w:t>
      </w:r>
    </w:p>
    <w:p/>
    <w:p>
      <w:r>
        <w:t>PayPal es un **negocio de alta calidad con un problema de narrativa, no de fundamentales**. Genera más de $5.5B en FCF, tiene balance saneado, márgenes en expansión y cotiza a ~7.5x FCF libre — múltiplo que el mercado suele asignar a negocios en declive estructural. Los datos no soportan esa tesis: los ingresos siguen creciendo, la rentabilidad mejora y la posición competitiva, aunque erosionada, sigue siendo sólida.</w:t>
      </w:r>
    </w:p>
    <w:p/>
    <w:p>
      <w:r>
        <w:t>**Recomendación: COMPRAR con cautela, en dos tramos.**</w:t>
      </w:r>
    </w:p>
    <w:p/>
    <w:p>
      <w:pPr>
        <w:pStyle w:val="ListBullet"/>
      </w:pPr>
      <w:r>
        <w:t>**Primer tramo (~50% de la posición): a precios actuales ($44-47).** El margen de seguridad respecto al escenario base es suficiente y el FCF yield es extraordinariamente atractivo.</w:t>
      </w:r>
    </w:p>
    <w:p>
      <w:pPr>
        <w:pStyle w:val="ListBullet"/>
      </w:pPr>
      <w:r>
        <w:t>**Segundo tramo (~50% restante): en caso de caída adicional hacia $38-40**, que activaría un margen de seguridad del ~40% respecto al escenario base y acercaría el precio al escenario bear, reduciendo el riesgo asimétrico.</w:t>
      </w:r>
    </w:p>
    <w:p/>
    <w:p>
      <w:r>
        <w:t>**Stop loss implícito:** Si los resultados muestran deterioro de márgenes *y* caída del TPV de forma sostenida durante dos trimestres consecutivos, la tesis se debilitaría sustancialmente y habría que revisar la posición.</w:t>
      </w:r>
    </w:p>
    <w:p/>
    <w:p>
      <w:r>
        <w:t>**Horizonte de inversión recomendado:** 18-36 meses. Este no es un trade táctico; es una apuesta a que el mercado reconocerá el valor de la franquicia una vez que el equipo directivo demuestre estabilización del crecimiento.</w:t>
      </w:r>
    </w:p>
    <w:p/>
    <w:p/>
    <w:p/>
    <w:p>
      <w:r>
        <w:t>*Análisis generado el 17/03/2026. No es consejo de inversión. El autor puede tener o no posiciones en el valor analizado. Toda inversión implica riesgo de pérdida de capital.*</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