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E79"/>
          <w:sz w:val="48"/>
        </w:rPr>
        <w:t>TESIS DE INVERSION</w:t>
      </w:r>
    </w:p>
    <w:p>
      <w:pPr>
        <w:jc w:val="center"/>
      </w:pPr>
      <w:r>
        <w:rPr>
          <w:color w:val="2E74B5"/>
          <w:sz w:val="32"/>
        </w:rPr>
        <w:t>SLP - Simulations Plus, Inc.</w:t>
      </w:r>
    </w:p>
    <w:p/>
    <w:p>
      <w:pPr>
        <w:jc w:val="center"/>
      </w:pPr>
      <w:r>
        <w:rPr>
          <w:sz w:val="24"/>
        </w:rPr>
        <w:t>17 de March de 2026</w:t>
      </w:r>
    </w:p>
    <w:p>
      <w:r>
        <w:br w:type="page"/>
      </w:r>
    </w:p>
    <w:p>
      <w:pPr>
        <w:pStyle w:val="Heading2"/>
      </w:pPr>
      <w:r>
        <w:t>SLP — Simulations Plus, Inc. | 🟡 ESPECULATIVA / WATCHLIST</w:t>
      </w:r>
    </w:p>
    <w:p/>
    <w:p>
      <w:pPr>
        <w:pStyle w:val="Heading3"/>
      </w:pPr>
      <w:r>
        <w:t>Resumen ejecutivo</w:t>
      </w:r>
    </w:p>
    <w:p/>
    <w:p>
      <w:r>
        <w:t>**Precio actual:** $12,12 | **Precio objetivo base:** ~$18–20 | **Margen de seguridad estimado:** ~50–65% sobre precio base | **Consenso analistas:** $24,67 (rango $19–$31)</w:t>
      </w:r>
    </w:p>
    <w:p/>
    <w:p>
      <w:r>
        <w:t>Simulations Plus cotiza con un descuento significativo respecto a cualquier estimación de valor intrínseco razonable, pero la pérdida neta masiva de 2025 (-$64,7M sobre $79,2M de revenue) —probablemente un deterioro de goodwill— y la investigación por fraude de valores activa exigen cautela. La tesis es sólida en el largo plazo; la ejecución a corto plazo está comprometida.</w:t>
      </w:r>
    </w:p>
    <w:p/>
    <w:p/>
    <w:p/>
    <w:p>
      <w:pPr>
        <w:pStyle w:val="Heading3"/>
      </w:pPr>
      <w:r>
        <w:t>El negocio</w:t>
      </w:r>
    </w:p>
    <w:p/>
    <w:p>
      <w:r>
        <w:t>Simulations Plus desarrolla **software de modelado y simulación para la industria farmacéutica y biotecnológica**, con sede en Research Triangle Park, Carolina del Norte. Su producto estrella, **GastroPlus**, es el estándar de facto en la industria para predecir absorción y farmacocinética de fármacos en humanos y animales, aceptado por la FDA y otras agencias regulatorias globales.</w:t>
      </w:r>
    </w:p>
    <w:p/>
    <w:p>
      <w:r>
        <w:t>La compañía opera en dos vectores:</w:t>
      </w:r>
    </w:p>
    <w:p/>
    <w:p>
      <w:r>
        <w:t>1. **Software** (licencias recurrentes): GastroPlus, ADMET Predictor, DILIsym, MonolixSuite, entre otros. Alta recurrencia de ingresos y márgenes brutos elevados (~70%).</w:t>
      </w:r>
    </w:p>
    <w:p>
      <w:r>
        <w:t>2. **Servicios**: consultoría en pharmacometría, modelado poblacional (PK/PD), escritura regulatoria y drug discovery temprano.</w:t>
      </w:r>
    </w:p>
    <w:p/>
    <w:p>
      <w:r>
        <w:t>**El moat es genuino y estrecho a la vez.** Sus ventajas competitivas incluyen:</w:t>
      </w:r>
    </w:p>
    <w:p>
      <w:pPr>
        <w:pStyle w:val="ListBullet"/>
      </w:pPr>
      <w:r>
        <w:t>Validación regulatoria acumulada durante casi 30 años (la FDA usa y recomienda GastroPlus explícitamente en guidance)</w:t>
      </w:r>
    </w:p>
    <w:p>
      <w:pPr>
        <w:pStyle w:val="ListBullet"/>
      </w:pPr>
      <w:r>
        <w:t>Altos costes de cambio para los equipos de DMPK/farmacocinética dentro de las farmacéuticas</w:t>
      </w:r>
    </w:p>
    <w:p>
      <w:pPr>
        <w:pStyle w:val="ListBullet"/>
      </w:pPr>
      <w:r>
        <w:t>Posicionamiento en la intersección de IA/ML aplicada a simulación molecular, un área de creciente demanda</w:t>
      </w:r>
    </w:p>
    <w:p>
      <w:pPr>
        <w:pStyle w:val="ListBullet"/>
      </w:pPr>
      <w:r>
        <w:t>Base de clientes que incluye las principales big pharma, biotech y agencias regulatorias mundiales</w:t>
      </w:r>
    </w:p>
    <w:p/>
    <w:p>
      <w:r>
        <w:t>Sin embargo, el mercado es nicho ($79M de revenue en 2025) y la empresa ha crecido principalmente mediante adquisiciones (DDDPlus, DILIsym, Lixoft/MonolixSuite), lo que introduce riesgo de integración y presión sobre los márgenes en las fases post-adquisición.</w:t>
      </w:r>
    </w:p>
    <w:p/>
    <w:p/>
    <w:p/>
    <w:p>
      <w:pPr>
        <w:pStyle w:val="Heading3"/>
      </w:pPr>
      <w:r>
        <w:t>Análisis financiero</w:t>
      </w:r>
    </w:p>
    <w:p/>
    <w:p>
      <w:r>
        <w:t>**Tendencia de ingresos: positiva pero desacelerando**</w:t>
      </w:r>
    </w:p>
    <w:p/>
    <w:p>
      <w:r>
        <w:t>| Año | Revenue | Crecimiento |</w:t>
      </w:r>
    </w:p>
    <w:p>
      <w:r>
        <w:t>|-----|---------|-------------|</w:t>
      </w:r>
    </w:p>
    <w:p>
      <w:r>
        <w:t>| 2022 | $53,9M | — |</w:t>
      </w:r>
    </w:p>
    <w:p>
      <w:r>
        <w:t>| 2023 | $59,6M | +10,5% |</w:t>
      </w:r>
    </w:p>
    <w:p>
      <w:r>
        <w:t>| 2024 | $70,0M | +17,5% |</w:t>
      </w:r>
    </w:p>
    <w:p>
      <w:r>
        <w:t>| 2025 | $79,2M | +13,1% |</w:t>
      </w:r>
    </w:p>
    <w:p/>
    <w:p>
      <w:r>
        <w:t>El crecimiento orgánico es real, pero parte de él está apoyado en las adquisiciones sucesivas. La CAGR 2022–2025 es del ~13,7%, respetable para un negocio de software especializado.</w:t>
      </w:r>
    </w:p>
    <w:p/>
    <w:p>
      <w:r>
        <w:t>**El gran problema: la pérdida neta de 2025**</w:t>
      </w:r>
    </w:p>
    <w:p/>
    <w:p>
      <w:r>
        <w:t>El beneficio neto colapsó de +$10,0M en 2024 a **-$64,7M en 2025**. Esta cifra es anómala y casi con certeza refleja un **deterioro de goodwill (impairment)** no recurrente derivado de alguna adquisición sobrevalorada. La señal de alerta es que el **EBITDA sigue positivo en $14,7M** y el **FCF fue de $14,4M** ese mismo año, lo que confirma que el negocio operativo sigue generando caja. No obstante, la investigación de BFA Law sobre posible fraude de valores añade una capa de incertidumbre legal importante.</w:t>
      </w:r>
    </w:p>
    <w:p/>
    <w:p>
      <w:r>
        <w:t>**Márgenes: bajo presión pero estructuralmente elevados**</w:t>
      </w:r>
    </w:p>
    <w:p/>
    <w:p>
      <w:pPr>
        <w:pStyle w:val="ListBullet"/>
      </w:pPr>
      <w:r>
        <w:t>Margen bruto histórico promedio: ~70% (muy sano para software)</w:t>
      </w:r>
    </w:p>
    <w:p>
      <w:pPr>
        <w:pStyle w:val="ListBullet"/>
      </w:pPr>
      <w:r>
        <w:t>Margen operativo: ha caído del 27,7% (2022) al 8,2% (2025), reflejo del aumento de gastos en SG&amp;A e I+D post-adquisiciones</w:t>
      </w:r>
    </w:p>
    <w:p>
      <w:pPr>
        <w:pStyle w:val="ListBullet"/>
      </w:pPr>
      <w:r>
        <w:t>FCF 2022–2025 acumulado: ~$55M, con una media de ~$13,7M/año</w:t>
      </w:r>
    </w:p>
    <w:p/>
    <w:p>
      <w:r>
        <w:t>**Balance: sólido**</w:t>
      </w:r>
    </w:p>
    <w:p>
      <w:pPr>
        <w:pStyle w:val="ListBullet"/>
      </w:pPr>
      <w:r>
        <w:t>Caja: $30,9M</w:t>
      </w:r>
    </w:p>
    <w:p>
      <w:pPr>
        <w:pStyle w:val="ListBullet"/>
      </w:pPr>
      <w:r>
        <w:t>Deuda total: $0,6M (prácticamente cero)</w:t>
      </w:r>
    </w:p>
    <w:p>
      <w:pPr>
        <w:pStyle w:val="ListBullet"/>
      </w:pPr>
      <w:r>
        <w:t>Equity contable: $124,8M → **valor en libros de ~$6,20/acción** vs. precio actual de $12,12</w:t>
      </w:r>
    </w:p>
    <w:p>
      <w:pPr>
        <w:pStyle w:val="ListBullet"/>
      </w:pPr>
      <w:r>
        <w:t>Sin presión financiera a corto plazo</w:t>
      </w:r>
    </w:p>
    <w:p/>
    <w:p>
      <w:r>
        <w:t>La empresa no necesita capital externo para operar y tiene margen para invertir en crecimiento o devolver valor a accionistas.</w:t>
      </w:r>
    </w:p>
    <w:p/>
    <w:p/>
    <w:p/>
    <w:p>
      <w:pPr>
        <w:pStyle w:val="Heading3"/>
      </w:pPr>
      <w:r>
        <w:t>Valoración DCF</w:t>
      </w:r>
    </w:p>
    <w:p/>
    <w:p>
      <w:r>
        <w:t>**Metodología aplicada**</w:t>
      </w:r>
    </w:p>
    <w:p/>
    <w:p>
      <w:r>
        <w:t>El modelo proyecta el revenue futuro durante 5 años y aplica márgenes históricos promedio (bruto, SG&amp;A, I+D, D&amp;A, impuestos) para calcular el **Unlevered Free Cash Flow (UFCF)**. El CapEx utilizado es únicamente el de **mantenimiento** (aproximado a la depreciación), ya que el CapEx de crecimiento no se resta explícitamente: se asume que el crecimiento proyectado de ingresos ya descuenta la inversión incremental necesaria. En el caso de SLP, la diferencia entre CapEx total y CapEx de mantenimiento es modesta (negocio asset-light de software), por lo que este ajuste no distorsiona materialmente el resultado.</w:t>
      </w:r>
    </w:p>
    <w:p/>
    <w:p>
      <w:r>
        <w:t>El **Valor Terminal** se calcula mediante múltiplo de salida sobre EBITDA (exit multiple sectorial de Healthcare/Health Information Services), sin asumir perpetuidad de Gordon Growth. El **WACC** se calcula vía CAPM: beta de 1,217 × prima de riesgo de mercado + tasa libre de riesgo real.</w:t>
      </w:r>
    </w:p>
    <w:p/>
    <w:p>
      <w:r>
        <w:t>**Supuestos clave y escenarios**</w:t>
      </w:r>
    </w:p>
    <w:p/>
    <w:p>
      <w:r>
        <w:t>| Parámetro | Bear | Base | Bull |</w:t>
      </w:r>
    </w:p>
    <w:p>
      <w:r>
        <w:t>|-----------|------|------|------|</w:t>
      </w:r>
    </w:p>
    <w:p>
      <w:r>
        <w:t>| Crecimiento revenue año 1 | -4,7% | -1,7% | +0,3% |</w:t>
      </w:r>
    </w:p>
    <w:p>
      <w:r>
        <w:t>| Crecimiento revenue año 5 | -0,7% | +2,3% | +1,8% |</w:t>
      </w:r>
    </w:p>
    <w:p>
      <w:r>
        <w:t>| Margen bruto proyectado | 68,1% | 70,1% | 72,1% |</w:t>
      </w:r>
    </w:p>
    <w:p>
      <w:r>
        <w:t>| WACC | 13,18% | 11,18% | 10,18% |</w:t>
      </w:r>
    </w:p>
    <w:p>
      <w:r>
        <w:t>| Múltiplo terminal (EV/EBITDA) | 10x | 13x | 15x |</w:t>
      </w:r>
    </w:p>
    <w:p/>
    <w:p>
      <w:r>
        <w:t>**Notas sobre los escenarios:** El escenario base aplica márgenes brutos históricos promedio superiores al actual 58% reportado, porque el modelo normaliza excluyendo partidas no recurrentes. Hay que destacar que el margen bruto del año 2025 (58%) está distorsionado por los costes de integración post-adquisición; el margen bruto estructural del segmento software puro históricamente supera el 70%.</w:t>
      </w:r>
    </w:p>
    <w:p/>
    <w:p>
      <w:r>
        <w:t>**Resultados de valoración (precio por acción estimado):**</w:t>
      </w:r>
    </w:p>
    <w:p/>
    <w:p>
      <w:r>
        <w:t>| Escenario | Precio objetivo estimado |</w:t>
      </w:r>
    </w:p>
    <w:p>
      <w:r>
        <w:t>|-----------|--------------------------|</w:t>
      </w:r>
    </w:p>
    <w:p>
      <w:r>
        <w:t>| 🐻 Bear | ~$8–10 |</w:t>
      </w:r>
    </w:p>
    <w:p>
      <w:r>
        <w:t>| 📊 Base | ~$18–20 |</w:t>
      </w:r>
    </w:p>
    <w:p>
      <w:r>
        <w:t>| 🐂 Bull | ~$26–30 |</w:t>
      </w:r>
    </w:p>
    <w:p/>
    <w:p>
      <w:r>
        <w:t>El precio actual de **$12,12 ofrece un descuento del ~40–50% respecto al escenario base**, con protección relativa gracias al balance limpio (caja neta de ~$30M ≈ $1,49/acción) y al FCF positivo. El consenso de analistas en $24,67 es consistente con un escenario base/bull.</w:t>
      </w:r>
    </w:p>
    <w:p/>
    <w:p>
      <w:r>
        <w:t>El escenario bear ($8–10) implica una contracción significativa de ingresos y expansión del WACC, no descartable dado el entorno macro y los riesgos específicos de la empresa.</w:t>
      </w:r>
    </w:p>
    <w:p/>
    <w:p/>
    <w:p/>
    <w:p>
      <w:pPr>
        <w:pStyle w:val="Heading3"/>
      </w:pPr>
      <w:r>
        <w:t>Riesgos principales</w:t>
      </w:r>
    </w:p>
    <w:p/>
    <w:p>
      <w:r>
        <w:t>1. **Investigación por fraude de valores (riesgo legal inmediato):** BFA Law investiga posibles irregularidades. Si hay litigio o asentamiento material, podría consumir caja y dañar la reputación con clientes regulatorios. Este es el riesgo más urgente a monitorizar.</w:t>
      </w:r>
    </w:p>
    <w:p/>
    <w:p>
      <w:r>
        <w:t>2. **Deterioro de goodwill y sobrevaloraciones pasadas en M&amp;A:** La pérdida neta de -$64,7M en 2025 sugiere que alguna adquisición se pagó en exceso. Con $124,8M en equity y goodwill potencialmente inflado, el valor en libros puede estar sobreestimado.</w:t>
      </w:r>
    </w:p>
    <w:p/>
    <w:p>
      <w:r>
        <w:t>3. **Compresión de márgenes operativos:** El margen operativo ha caído del 27,7% al 8,2% en tres años, absorbido por SG&amp;A e I+D crecientes post-adquisiciones. Si no se recupera la palanca operativa, el FCF permanecerá bajo presión.</w:t>
      </w:r>
    </w:p>
    <w:p/>
    <w:p>
      <w:r>
        <w:t>4. **Concentración de mercado y riesgo de disruption:** La base de clientes (big pharma y biotech) está sometida a ciclos de M&amp;A y recortes de presupuesto en R&amp;D. Además, la entrada de plataformas de IA generativa de mayor escala (Schrödinger, Certara, o incluso herramientas de OpenAI aplicadas a cheminformatics) podría erosionar la ventaja diferencial de SLP a medio plazo.</w:t>
      </w:r>
    </w:p>
    <w:p/>
    <w:p/>
    <w:p/>
    <w:p>
      <w:pPr>
        <w:pStyle w:val="Heading3"/>
      </w:pPr>
      <w:r>
        <w:t>Catalizadores</w:t>
      </w:r>
    </w:p>
    <w:p/>
    <w:p>
      <w:r>
        <w:t>**Al alza:**</w:t>
      </w:r>
    </w:p>
    <w:p>
      <w:pPr>
        <w:pStyle w:val="ListBullet"/>
      </w:pPr>
      <w:r>
        <w:t>**Resolución favorable de la investigación legal:** Cualquier cierre sin impacto material despejaría la principal incertidumbre y podría revalorizar el precio un 20–30% en días.</w:t>
      </w:r>
    </w:p>
    <w:p>
      <w:pPr>
        <w:pStyle w:val="ListBullet"/>
      </w:pPr>
      <w:r>
        <w:t>**Recuperación de márgenes operativos:** Una guía de management que señale retorno al 15–20% de margen EBIT en 2026–2027 cambiaría radicalmente el perfil de valoración.</w:t>
      </w:r>
    </w:p>
    <w:p>
      <w:pPr>
        <w:pStyle w:val="ListBullet"/>
      </w:pPr>
      <w:r>
        <w:t>**Expansión de la plataforma de IA/MIDD:** El Investor Day de enero 2026 destacó innovación de plataforma; contratos nuevos con grandes farmacéuticas o acuerdos con reguladores (FDA/EMA) en modelos de IA validados serían catalizadores potentes.</w:t>
      </w:r>
    </w:p>
    <w:p>
      <w:pPr>
        <w:pStyle w:val="ListBullet"/>
      </w:pPr>
      <w:r>
        <w:t>**Adquisición o acuerdo estratégico:** La empresa podría ser target de compra por parte de Certara, Dassault Systèmes (BIOVIA) o un fondo de private equity que valore su nicho regulatorio.</w:t>
      </w:r>
    </w:p>
    <w:p/>
    <w:p>
      <w:r>
        <w:t>**A la baja:**</w:t>
      </w:r>
    </w:p>
    <w:p>
      <w:pPr>
        <w:pStyle w:val="ListBullet"/>
      </w:pPr>
      <w:r>
        <w:t>Escalada del litigio legal o demanda colectiva.</w:t>
      </w:r>
    </w:p>
    <w:p>
      <w:pPr>
        <w:pStyle w:val="ListBullet"/>
      </w:pPr>
      <w:r>
        <w:t>Nueva revisión a la baja del guidance de crecimiento orgánico (el año 1 del modelo ya proyecta -1,7%).</w:t>
      </w:r>
    </w:p>
    <w:p>
      <w:pPr>
        <w:pStyle w:val="ListBullet"/>
      </w:pPr>
      <w:r>
        <w:t>Pérdida de contratos clave con grandes farmacéuticas ante competidores como Certara o SimBiology.</w:t>
      </w:r>
    </w:p>
    <w:p/>
    <w:p/>
    <w:p/>
    <w:p>
      <w:pPr>
        <w:pStyle w:val="Heading3"/>
      </w:pPr>
      <w:r>
        <w:t>Conclusión y plan de acción</w:t>
      </w:r>
    </w:p>
    <w:p/>
    <w:p>
      <w:r>
        <w:t>**Veredicto: WATCHLIST — No comprar aún, pero seguimiento activo obligatorio.**</w:t>
      </w:r>
    </w:p>
    <w:p/>
    <w:p>
      <w:r>
        <w:t>Simulations Plus tiene un negocio real, un moat defensible en simulación farmacológica regulatoria, un balance sin deuda y FCF positivo. A $12,12, el precio descuenta un escenario casi terminal que no se corresponde con los fundamentales operativos. **El potencial de revalorización es del 50–100% si se resuelven los problemas no recurrentes.**</w:t>
      </w:r>
    </w:p>
    <w:p/>
    <w:p>
      <w:r>
        <w:t>Sin embargo, la investigación por fraude de valores es un riesgo binario que no permite asumir una posición plena con convicción. Una demanda colectiva exitosa o el descubrimiento de irregularidades contables materiales podrían llevar el precio por debajo del escenario bear.</w:t>
      </w:r>
    </w:p>
    <w:p/>
    <w:p>
      <w:r>
        <w:t>**Plan de acción concreto:**</w:t>
      </w:r>
    </w:p>
    <w:p>
      <w:pPr>
        <w:pStyle w:val="ListBullet"/>
      </w:pPr>
      <w:r>
        <w:t>**Iniciar posición pequeña (~25–30% de la posición objetivo) solo si:** el precio se mantiene por debajo de $13 y no hay escalada legal relevante en los próximos 30 días.</w:t>
      </w:r>
    </w:p>
    <w:p>
      <w:pPr>
        <w:pStyle w:val="ListBullet"/>
      </w:pPr>
      <w:r>
        <w:t>**Completar posición** si hay resolución favorable de la investigación legal y señales de recuperación de márgenes en resultados trimestrales de H1 2026.</w:t>
      </w:r>
    </w:p>
    <w:p>
      <w:pPr>
        <w:pStyle w:val="ListBullet"/>
      </w:pPr>
      <w:r>
        <w:t>**Stop loss lógico:** cierre por debajo de $8,50 (zona de valor en libros ajustado), que indicaría deterioro fundamental y no meramente temporal.</w:t>
      </w:r>
    </w:p>
    <w:p>
      <w:pPr>
        <w:pStyle w:val="ListBullet"/>
      </w:pPr>
      <w:r>
        <w:t>**Precio objetivo de salida:** $20–22 en horizonte 18–24 meses (escenario base normalizado).</w:t>
      </w:r>
    </w:p>
    <w:p/>
    <w:p>
      <w:r>
        <w:t>Para inversores con mayor tolerancia al riesgo, el desajuste entre precio y valor es genuinamente interesante. Para perfiles conservadores, esperar a que se despeje el riesgo legal antes de entrar.</w:t>
      </w:r>
    </w:p>
    <w:p/>
    <w:p/>
    <w:p>
      <w:r>
        <w:t>*Análisis generado el 17/03/2026. No es consejo de inversión. Basado en datos públicos disponibles. El inversor debe realizar su propia diligencia, especialmente respecto al estatus actual de la investigación legal mencionada.*</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