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V - Visa Inc.</w:t>
      </w:r>
    </w:p>
    <w:p/>
    <w:p>
      <w:pPr>
        <w:jc w:val="center"/>
      </w:pPr>
      <w:r>
        <w:rPr>
          <w:sz w:val="24"/>
        </w:rPr>
        <w:t>17 de March de 2026</w:t>
      </w:r>
    </w:p>
    <w:p>
      <w:r>
        <w:br w:type="page"/>
      </w:r>
    </w:p>
    <w:p>
      <w:pPr>
        <w:pStyle w:val="Heading2"/>
      </w:pPr>
      <w:r>
        <w:t>V — Visa Inc. | 🟡 MANTENER / ACUMULAR EN CORRECCIONES</w:t>
      </w:r>
    </w:p>
    <w:p/>
    <w:p/>
    <w:p/>
    <w:p>
      <w:pPr>
        <w:pStyle w:val="Heading3"/>
      </w:pPr>
      <w:r>
        <w:t>Resumen ejecutivo</w:t>
      </w:r>
    </w:p>
    <w:p/>
    <w:p>
      <w:r>
        <w:t>Visa cotiza a **$308,42** frente a un precio objetivo base de **~$370**, lo que implica un **margen de seguridad del ~20%**. El consenso de analistas apunta a una media de $400 (rango $323–$450). Se trata de uno de los negocios más rentables del planeta —márgenes netos superiores al 50%— con un moat casi inexpugnable, pero la valoración actual no deja un descuento extraordinario. **Recomendación: mantener posiciones existentes y acumular en correcciones hacia los $280–$290**, donde el margen de seguridad se amplía de forma más atractiva.</w:t>
      </w:r>
    </w:p>
    <w:p/>
    <w:p/>
    <w:p/>
    <w:p>
      <w:pPr>
        <w:pStyle w:val="Heading3"/>
      </w:pPr>
      <w:r>
        <w:t>El negocio</w:t>
      </w:r>
    </w:p>
    <w:p/>
    <w:p>
      <w:r>
        <w:t>Visa es, en esencia, una **empresa de tecnología de infraestructura de pagos** disfrazada de empresa financiera. Su red VisaNet procesa más de 200.000 millones de transacciones al año, conectando a más de 14.500 instituciones financieras emisoras, decenas de millones de comercios y miles de millones de tarjetahabientes en más de 200 países.</w:t>
      </w:r>
    </w:p>
    <w:p/>
    <w:p>
      <w:r>
        <w:t>**El modelo de negocio es extraordinariamente ligero en capital**: Visa no presta dinero ni asume riesgo de crédito. Cobra un peaje —fees de servicio, datos/procesamiento e internacional— sobre cada transacción que circula por su red. Cuanto más se mueve el dinero digital en el mundo, más gana Visa, sin importar quién gana o pierde en esa transacción.</w:t>
      </w:r>
    </w:p>
    <w:p/>
    <w:p>
      <w:r>
        <w:t>**El moat es de los más sólidos del mundo bursátil:**</w:t>
      </w:r>
    </w:p>
    <w:p>
      <w:pPr>
        <w:pStyle w:val="ListBullet"/>
      </w:pPr>
      <w:r>
        <w:t>**Efectos de red bilaterales**: más emisores atraen más comercios, y viceversa. Una red rival necesitaría convencer a ambos lados simultáneamente.</w:t>
      </w:r>
    </w:p>
    <w:p>
      <w:pPr>
        <w:pStyle w:val="ListBullet"/>
      </w:pPr>
      <w:r>
        <w:t>**Switching costs brutales**: los bancos han invertido décadas en integrar VisaNet. Cambiar no es una decisión técnica, es un riesgo existencial para ellos.</w:t>
      </w:r>
    </w:p>
    <w:p>
      <w:pPr>
        <w:pStyle w:val="ListBullet"/>
      </w:pPr>
      <w:r>
        <w:t>**Marca global**: Visa es sinónimo de aceptación universal, lo que refuerza la preferencia del consumidor.</w:t>
      </w:r>
    </w:p>
    <w:p>
      <w:pPr>
        <w:pStyle w:val="ListBullet"/>
      </w:pPr>
      <w:r>
        <w:t>**Escala regulatoria**: cumplir con las normativas de pagos en 200+ jurisdicciones es una barrera de entrada que ninguna startup puede replicar fácilmente.</w:t>
      </w:r>
    </w:p>
    <w:p/>
    <w:p>
      <w:r>
        <w:t>Los ingresos provienen principalmente de **cuatro fuentes**: service revenues (fees sobre el volumen de pagos), data processing (fees por transacción), international transaction revenues (divisas y transacciones cross-border) y otros. La diversificación geográfica es alta, aunque Estados Unidos sigue siendo el mercado dominante.</w:t>
      </w:r>
    </w:p>
    <w:p/>
    <w:p/>
    <w:p/>
    <w:p>
      <w:pPr>
        <w:pStyle w:val="Heading3"/>
      </w:pPr>
      <w:r>
        <w:t>Análisis financiero</w:t>
      </w:r>
    </w:p>
    <w:p/>
    <w:p>
      <w:r>
        <w:t>**Crecimiento sostenido y predecible:**</w:t>
      </w:r>
    </w:p>
    <w:p/>
    <w:p>
      <w:r>
        <w:t>| Año | Revenue | Net Income | FCF | Margen Neto |</w:t>
      </w:r>
    </w:p>
    <w:p>
      <w:r>
        <w:t>|-----|---------|------------|-----|-------------|</w:t>
      </w:r>
    </w:p>
    <w:p>
      <w:r>
        <w:t>| 2022 | $29,3B | $15,0B | $17,9B | 51,0% |</w:t>
      </w:r>
    </w:p>
    <w:p>
      <w:r>
        <w:t>| 2023 | $32,7B | $17,3B | $19,7B | 52,9% |</w:t>
      </w:r>
    </w:p>
    <w:p>
      <w:r>
        <w:t>| 2024 | $35,9B | $19,7B | $18,7B | 55,0% |</w:t>
      </w:r>
    </w:p>
    <w:p>
      <w:r>
        <w:t>| 2025 | $40,0B | $20,1B | $21,6B | 50,1% |</w:t>
      </w:r>
    </w:p>
    <w:p/>
    <w:p>
      <w:r>
        <w:t>El revenue ha crecido a una CAGR del **~11%** en los últimos tres años, impulsado por la recuperación del gasto transfronterizo post-COVID, la digitalización del efectivo y el crecimiento de los mercados emergentes. El **margen operativo del 66,4%** y el **margen bruto del 80,4%** reflejan la naturaleza asset-light del negocio.</w:t>
      </w:r>
    </w:p>
    <w:p/>
    <w:p>
      <w:r>
        <w:t>**Puntos a destacar:**</w:t>
      </w:r>
    </w:p>
    <w:p>
      <w:pPr>
        <w:pStyle w:val="ListBullet"/>
      </w:pPr>
      <w:r>
        <w:t>El FCF de $21,6B en 2025 es notable: representa más del **54% de los ingresos**, algo casi sin precedentes fuera del software puro.</w:t>
      </w:r>
    </w:p>
    <w:p>
      <w:pPr>
        <w:pStyle w:val="ListBullet"/>
      </w:pPr>
      <w:r>
        <w:t>La **deuda neta es prácticamente neutral**: $25,2B en deuda vs. $17,2B en caja, con una capacidad de generación de caja que cubre la deuda total en poco más de 12 meses.</w:t>
      </w:r>
    </w:p>
    <w:p>
      <w:pPr>
        <w:pStyle w:val="ListBullet"/>
      </w:pPr>
      <w:r>
        <w:t>La caída en FCF de 2024 ($18,7B vs. $21,6B en 2025) fue puntual, posiblemente relacionada con variaciones en capital circulante y ciertos pagos regulatorios; la tendencia estructural es alcista.</w:t>
      </w:r>
    </w:p>
    <w:p>
      <w:pPr>
        <w:pStyle w:val="ListBullet"/>
      </w:pPr>
      <w:r>
        <w:t>Visa devuelve capital de forma consistente mediante **recompras de acciones agresivas** (las acciones en circulación han caído de ~2.100M en 2019 a ~1.681M actuales) y dividendos crecientes, aunque el yield es modesto (~0,8%).</w:t>
      </w:r>
    </w:p>
    <w:p/>
    <w:p>
      <w:r>
        <w:t>**Deuda:** La estructura de capital es conservadora. El ratio deuda/EBITDA es aproximadamente **0,97x**, absolutamente manejable para un generador de caja de esta magnitud.</w:t>
      </w:r>
    </w:p>
    <w:p/>
    <w:p/>
    <w:p/>
    <w:p>
      <w:pPr>
        <w:pStyle w:val="Heading3"/>
      </w:pPr>
      <w:r>
        <w:t>Valoración DCF</w:t>
      </w:r>
    </w:p>
    <w:p/>
    <w:p>
      <w:r>
        <w:t>#### Metodología</w:t>
      </w:r>
    </w:p>
    <w:p/>
    <w:p>
      <w:r>
        <w:t>El modelo proyecta los ingresos de Visa durante 5 años aplicando tasas de crecimiento diferenciadas por escenario, y después aplica los **márgenes históricos promedio** (gross margin ~80,3%, SG&amp;A, D&amp;A, impuestos) para derivar el **Unlevered Free Cash Flow (UFCF)** de cada periodo.</w:t>
      </w:r>
    </w:p>
    <w:p/>
    <w:p>
      <w:r>
        <w:t>Un aspecto crítico en Visa: dado que es un negocio esencialmente digital e infraestructural, el **CapEx de mantenimiento es mínimo** (≈ depreciación y amortización, en torno al 2–3% de revenues). El CapEx de crecimiento —fundamentalmente inversiones tecnológicas, adquisiciones de talento e infraestructura de red— ya está incorporado en la tasa de crecimiento del revenue proyectado, por lo que no se resta adicionalmente. Esto es coherente con la realidad operativa de Visa: su principal "inversión de crecimiento" no es inmovilizado material sino capacidad de red y acuerdos comerciales.</w:t>
      </w:r>
    </w:p>
    <w:p/>
    <w:p>
      <w:r>
        <w:t>El **Valor Terminal** se calcula mediante un **exit multiple sobre EBITDA** apropiado para el sector de servicios financieros/tecnología de pagos (no Gordon Growth), lo que evita la sensibilidad excesiva a tasas de crecimiento a perpetuidad.</w:t>
      </w:r>
    </w:p>
    <w:p/>
    <w:p>
      <w:r>
        <w:t>El **WACC** se estima vía CAPM: beta de **0,79** (Visa es menos volátil que el mercado, lógico dado su naturaleza defensiva) × prima de riesgo de mercado + tasa libre de riesgo real. El resultado es un WACC base del **8,68%**, razonable para una empresa de altísima calidad.</w:t>
      </w:r>
    </w:p>
    <w:p/>
    <w:p>
      <w:r>
        <w:t>#### Escenarios</w:t>
      </w:r>
    </w:p>
    <w:p/>
    <w:p>
      <w:r>
        <w:t>| Escenario | Crec. Y1 | Crec. Y5 | Margen Bruto | WACC | Exit Multiple | **Precio Objetivo** |</w:t>
      </w:r>
    </w:p>
    <w:p>
      <w:r>
        <w:t>|-----------|----------|----------|--------------|------|---------------|---------------------|</w:t>
      </w:r>
    </w:p>
    <w:p>
      <w:r>
        <w:t>| 🐻 Bear | +10,2% | +6,1% | 78,3% | 10,68% | 8x EBITDA | ~**$230** |</w:t>
      </w:r>
    </w:p>
    <w:p>
      <w:r>
        <w:t>| 📊 Base | +14,6% | +8,8% | 80,3% | 8,68% | 11x EBITDA | ~**$370** |</w:t>
      </w:r>
    </w:p>
    <w:p>
      <w:r>
        <w:t>| 🐂 Bull | +19,0% | +11,4% | 82,3% | 7,68% | 13x EBITDA | ~**$520** |</w:t>
      </w:r>
    </w:p>
    <w:p/>
    <w:p>
      <w:r>
        <w:t>**Interpretación:**</w:t>
      </w:r>
    </w:p>
    <w:p/>
    <w:p>
      <w:pPr>
        <w:pStyle w:val="ListBullet"/>
      </w:pPr>
      <w:r>
        <w:t>El **escenario base (~$370)** implica que Visa continúa creciendo a tasas próximas a su media histórica, con márgenes estables. Desde el precio actual de $308, ofrece un **upside del ~20%** más el retorno por recompras (~3–4% anual), totalizando un retorno potencial de ~24% en el horizonte del modelo.</w:t>
      </w:r>
    </w:p>
    <w:p/>
    <w:p>
      <w:pPr>
        <w:pStyle w:val="ListBullet"/>
      </w:pPr>
      <w:r>
        <w:t>El **escenario bear (~$230)** contempla una desaceleración significativa del gasto de consumo global, presión regulatoria que comprime márgenes y un entorno de tipos elevados (WACC +2pp). Con el precio actual a $308, este escenario implicaría una caída del ~25%. Es el verdadero "precio de seguridad" que los inversores más conservadores deberían esperar antes de construir una posición grande.</w:t>
      </w:r>
    </w:p>
    <w:p/>
    <w:p>
      <w:pPr>
        <w:pStyle w:val="ListBullet"/>
      </w:pPr>
      <w:r>
        <w:t>El **escenario bull (~$520)** reflejaría aceleración en mercados emergentes, integración exitosa de pagos en tiempo real y nuevos servicios de valor añadido (Visa Direct, B2B), con expansión de márgenes. Consistente con el target alto de analistas ($450).</w:t>
      </w:r>
    </w:p>
    <w:p/>
    <w:p>
      <w:pPr>
        <w:pStyle w:val="ListBullet"/>
      </w:pPr>
      <w:r>
        <w:t>El **precio objetivo razonable** se fija en **$370** (escenario base), con zona de compra agresiva por debajo de **$290** (donde incluso el escenario base ofrece &gt;25% de upside y el bear case está prácticamente descontado).</w:t>
      </w:r>
    </w:p>
    <w:p/>
    <w:p/>
    <w:p/>
    <w:p>
      <w:pPr>
        <w:pStyle w:val="Heading3"/>
      </w:pPr>
      <w:r>
        <w:t>Riesgos principales</w:t>
      </w:r>
    </w:p>
    <w:p/>
    <w:p>
      <w:r>
        <w:t>1. **Riesgo regulatorio y antimonopolio:** La noticia del día —Visa y Mastercard ganando el derecho a apelar la resolución de Reino Unido sobre merchant fees— ilustra que este riesgo es permanente y global. La Unión Europea, Estados Unidos (DOJ vs. Visa en redes de débito) y múltiples mercados emergentes cuestionan periódicamente las tarifas de intercambio. Una regulación adversa podría comprimir los márgenes structuralmente. Este es, sin duda, **el riesgo número uno**.</w:t>
      </w:r>
    </w:p>
    <w:p/>
    <w:p>
      <w:r>
        <w:t>2. **Desintermediación tecnológica (crypto, stablecoins, pagos en tiempo real):** La adquisición de BVNK por Mastercard por hasta $1.800M señala que los incumbentes sienten la presión. Los sistemas de pago en tiempo real (FedNow en EE.UU., PIX en Brasil, UPI en India) y las stablecoins podrían, en el largo plazo, crear canales de pago que eviten las redes de Visa. A corto plazo, el impacto es limitado; a 10+ años, es la mayor amenaza existencial. **Nota positiva**: Visa también está invirtiendo activamente en IA para fraude y en integración de nuevos ecosistemas digitales.</w:t>
      </w:r>
    </w:p>
    <w:p/>
    <w:p>
      <w:r>
        <w:t>3. **Desaceleración macroeconómica:** El modelo de Visa es un proxy del gasto de consumo global. Una recesión profunda reduce el volumen de transacciones, especialmente las transfronterizas (las de mayor margen). Un entorno de aranceles elevados y guerra comercial también reduciría el comercio internacional, impactando los revenues de transacciones internacionales.</w:t>
      </w:r>
    </w:p>
    <w:p/>
    <w:p>
      <w:r>
        <w:t>4. **Litigios de merchant fees en EE.UU.:** El acuerdo con los comerciantes estadounidenses (que implicó ~$5.600M) no cerró todos los frentes. Nuevas demandas colectivas o presión legislativa sobre las interchange fees podrían materializarse, afectando tanto a ingresos como a reputación.</w:t>
      </w:r>
    </w:p>
    <w:p/>
    <w:p/>
    <w:p/>
    <w:p>
      <w:pPr>
        <w:pStyle w:val="Heading3"/>
      </w:pPr>
      <w:r>
        <w:t>Catalizadores</w:t>
      </w:r>
    </w:p>
    <w:p/>
    <w:p>
      <w:r>
        <w:t>**Al alza (próximos 12–24 meses):**</w:t>
      </w:r>
    </w:p>
    <w:p>
      <w:pPr>
        <w:pStyle w:val="ListBullet"/>
      </w:pPr>
      <w:r>
        <w:t>**Resolución favorable de litigios regulatorios**: si los tribunales respaldan los modelos de fees de Visa, el overhang legal desaparecería y múltiplos podrían re-expandirse.</w:t>
      </w:r>
    </w:p>
    <w:p>
      <w:pPr>
        <w:pStyle w:val="ListBullet"/>
      </w:pPr>
      <w:r>
        <w:t>**Aceleración de Visa Direct y pagos B2B**: el mercado de pagos entre empresas (B2B) representa billones en transacciones que todavía se realizan por cheque o transferencia bancaria. La penetración de Visa aquí es un growth driver enorme y poco valorado.</w:t>
      </w:r>
    </w:p>
    <w:p>
      <w:pPr>
        <w:pStyle w:val="ListBullet"/>
      </w:pPr>
      <w:r>
        <w:t>**Crecimiento del gasto transfronterizo**: recuperación del turismo internacional y comercio electrónico cross-border, particularmente en Asia.</w:t>
      </w:r>
    </w:p>
    <w:p>
      <w:pPr>
        <w:pStyle w:val="ListBullet"/>
      </w:pPr>
      <w:r>
        <w:t>**Expansión en mercados emergentes**: India, Sudeste Asiático y África tienen tasas de uso de efectivo todavía muy altas; la formalización financiera beneficia directamente a Visa.</w:t>
      </w:r>
    </w:p>
    <w:p>
      <w:pPr>
        <w:pStyle w:val="ListBullet"/>
      </w:pPr>
      <w:r>
        <w:t>**Recompras aceleradas**: con $21,6B de FCF anual, Visa puede recomprar ~3,5% de su capitalización cada año, creando valor compuesto aunque el múltiplo no se expanda.</w:t>
      </w:r>
    </w:p>
    <w:p/>
    <w:p>
      <w:r>
        <w:t>**A la baja:**</w:t>
      </w:r>
    </w:p>
    <w:p>
      <w:pPr>
        <w:pStyle w:val="ListBullet"/>
      </w:pPr>
      <w:r>
        <w:t>Resolución adversa en litigios antimonopolio del DOJ en EE.UU.</w:t>
      </w:r>
    </w:p>
    <w:p>
      <w:pPr>
        <w:pStyle w:val="ListBullet"/>
      </w:pPr>
      <w:r>
        <w:t>Adopción masiva de alternativas de pago en tiempo real que erosionen el volumen.</w:t>
      </w:r>
    </w:p>
    <w:p>
      <w:pPr>
        <w:pStyle w:val="ListBullet"/>
      </w:pPr>
      <w:r>
        <w:t>Recesión global con contracción del consumo discrecional.</w:t>
      </w:r>
    </w:p>
    <w:p/>
    <w:p/>
    <w:p/>
    <w:p>
      <w:pPr>
        <w:pStyle w:val="Heading3"/>
      </w:pPr>
      <w:r>
        <w:t>Conclusión y plan de acción</w:t>
      </w:r>
    </w:p>
    <w:p/>
    <w:p>
      <w:r>
        <w:t>Visa es uno de los mejores negocios del mundo. Punto. Un margen neto del 50%, FCF yield atractivo, moat casi indestructible y décadas de runway de crecimiento por la digitalización del efectivo global. No es un negocio barato —nunca lo ha sido— pero al precio actual de $308 cotiza con un descuento razonable respecto a su valor intrínseco base de ~$370.</w:t>
      </w:r>
    </w:p>
    <w:p/>
    <w:p>
      <w:r>
        <w:t>**Plan de acción concreto:**</w:t>
      </w:r>
    </w:p>
    <w:p/>
    <w:p>
      <w:pPr>
        <w:pStyle w:val="ListBullet"/>
      </w:pPr>
      <w:r>
        <w:t>**Por encima de $340**: no iniciar posición nueva; el margen de seguridad es insuficiente para un inversor value riguroso.</w:t>
      </w:r>
    </w:p>
    <w:p>
      <w:pPr>
        <w:pStyle w:val="ListBullet"/>
      </w:pPr>
      <w:r>
        <w:t>**Entre $290 y $340** (precio actual): **acumular gradualmente** (25–50% de la posición objetivo). El upside base justifica la entrada, especialmente para inversores con horizonte de 3–5 años.</w:t>
      </w:r>
    </w:p>
    <w:p>
      <w:pPr>
        <w:pStyle w:val="ListBullet"/>
      </w:pPr>
      <w:r>
        <w:t>**Por debajo de $290**: **compra agresiva**. A ese nivel, incluso el escenario bear está en gran parte descontado, y la asimetría riesgo/recompensa se vuelve muy favorable.</w:t>
      </w:r>
    </w:p>
    <w:p>
      <w:pPr>
        <w:pStyle w:val="ListBullet"/>
      </w:pPr>
      <w:r>
        <w:t>**Stop loss intelectual**: una resolución regulatoria que imponga caps estructurales a las interchange fees en EE.UU. o Europa obligaría a revisar completamente el modelo financiero. En ese caso, revisar la tesis independientemente del precio.</w:t>
      </w:r>
    </w:p>
    <w:p/>
    <w:p>
      <w:r>
        <w:t>Para un inversor de largo plazo con convicción en la irreversibilidad de la digitalización del dinero, Visa es una posición que se construye en las correcciones y se mantiene indefinidamente.</w:t>
      </w:r>
    </w:p>
    <w:p/>
    <w:p/>
    <w:p>
      <w:r>
        <w:t>*Análisis generado el 17/03/2026. No es consejo de inversión. Basado en datos públicos y modelo DCF propietario. El inversor debe realizar su propio due diligence.*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