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8"/>
        </w:rPr>
        <w:t>TESIS DE INVERSION</w:t>
      </w:r>
    </w:p>
    <w:p>
      <w:pPr>
        <w:jc w:val="center"/>
      </w:pPr>
      <w:r>
        <w:rPr>
          <w:color w:val="2E74B5"/>
          <w:sz w:val="32"/>
        </w:rPr>
        <w:t>WCP.TO - Whitecap Resources Inc.</w:t>
      </w:r>
    </w:p>
    <w:p/>
    <w:p>
      <w:pPr>
        <w:jc w:val="center"/>
      </w:pPr>
      <w:r>
        <w:rPr>
          <w:sz w:val="24"/>
        </w:rPr>
        <w:t>16 de March de 2026</w:t>
      </w:r>
    </w:p>
    <w:p>
      <w:r>
        <w:br w:type="page"/>
      </w:r>
    </w:p>
    <w:p>
      <w:pPr>
        <w:pStyle w:val="Heading2"/>
      </w:pPr>
      <w:r>
        <w:t>WCP.TO — Whitecap Resources Inc. | 🟡 ACUMULACIÓN SELECTIVA</w:t>
      </w:r>
    </w:p>
    <w:p/>
    <w:p/>
    <w:p/>
    <w:p>
      <w:pPr>
        <w:pStyle w:val="Heading3"/>
      </w:pPr>
      <w:r>
        <w:t>Resumen ejecutivo</w:t>
      </w:r>
    </w:p>
    <w:p/>
    <w:p>
      <w:r>
        <w:t>Whitecap Resources cotiza a **C$14,33** frente a un precio objetivo base de **C$18,50**, lo que implica un **margen de seguridad del ~29%** más un dividendo mensual con rentabilidad cercana al 6%. La reciente adquisición de Veren transforma la compañía en un E&amp;P canadiense de primer nivel, con escala suficiente para asegurar contratos internacionales de gas. Recomendamos **acumulación selectiva** por debajo de C$15,00, con convicción en un horizonte de 18-24 meses.</w:t>
      </w:r>
    </w:p>
    <w:p/>
    <w:p/>
    <w:p/>
    <w:p>
      <w:pPr>
        <w:pStyle w:val="Heading3"/>
      </w:pPr>
      <w:r>
        <w:t>El negocio</w:t>
      </w:r>
    </w:p>
    <w:p/>
    <w:p>
      <w:r>
        <w:t>Whitecap Resources es una empresa canadiense de exploración y producción (E&amp;P) de petróleo y gas natural, fundada en 2009 y con sede en Calgary. Opera exclusivamente en el oeste de Canadá, con activos concentrados en:</w:t>
      </w:r>
    </w:p>
    <w:p/>
    <w:p>
      <w:pPr>
        <w:pStyle w:val="ListBullet"/>
      </w:pPr>
      <w:r>
        <w:t>**Norte de Alberta** y **Columbia Británica** (gas)</w:t>
      </w:r>
    </w:p>
    <w:p>
      <w:pPr>
        <w:pStyle w:val="ListBullet"/>
      </w:pPr>
      <w:r>
        <w:t>**Alberta Central** y **Saskatchewan Occidental y Oriental** (petróleo ligero y pesado)</w:t>
      </w:r>
    </w:p>
    <w:p/>
    <w:p>
      <w:r>
        <w:t>La compañía creció históricamente mediante adquisiciones disciplinadas de activos maduros de bajo riesgo, aplicando eficiencias operativas para maximizar el FCF por acción. El **evento transformacional** más reciente es la absorción de **Veren Inc.**, que duplicó aproximadamente la escala del negocio: los ingresos saltaron de C$3.938M en 2024 a C$5.909M en 2025, y el EBITDA pasó de C$2.140M a C$3.176M.</w:t>
      </w:r>
    </w:p>
    <w:p/>
    <w:p>
      <w:r>
        <w:t>**Ventaja competitiva (moat):** Whitecap no es una empresa de exploración especulativa; su modelo se basa en activos de larga vida útil con tasas de declive predecibles y bajo CapEx de mantenimiento relativo. Tras la integración de Veren, la escala alcanzada le ha permitido asegurar **contratos de exportación de gas natural licuado** con contrapartes globales (incluyendo el acuerdo Centrica anunciado en febrero 2026), algo inaccesible para E&amp;Ps más pequeños. Esto diversifica geográficamente sus ingresos y reduce la dependencia de los diferenciales del crudo canadiense (WCS vs. WTI), históricamente su principal riesgo comercial.</w:t>
      </w:r>
    </w:p>
    <w:p/>
    <w:p/>
    <w:p/>
    <w:p>
      <w:pPr>
        <w:pStyle w:val="Heading3"/>
      </w:pPr>
      <w:r>
        <w:t>Análisis financiero</w:t>
      </w:r>
    </w:p>
    <w:p/>
    <w:p>
      <w:r>
        <w:t>**Evolución de ingresos:**</w:t>
      </w:r>
    </w:p>
    <w:p/>
    <w:p>
      <w:r>
        <w:t>| Año | Revenue (C$M) | EBITDA (C$M) | FCF (C$M) | Margen Neto |</w:t>
      </w:r>
    </w:p>
    <w:p>
      <w:r>
        <w:t>|-----|--------------|--------------|-----------|-------------|</w:t>
      </w:r>
    </w:p>
    <w:p>
      <w:r>
        <w:t>| 2022 | 4.780 | 3.094 | 1.489 | 35,1% |</w:t>
      </w:r>
    </w:p>
    <w:p>
      <w:r>
        <w:t>| 2023 | 3.849 | 2.125 | 618 | 23,1% |</w:t>
      </w:r>
    </w:p>
    <w:p>
      <w:r>
        <w:t>| 2024 | 3.938 | 2.140 | 697 | 20,6% |</w:t>
      </w:r>
    </w:p>
    <w:p>
      <w:r>
        <w:t>| 2025 | 5.909 | 3.176 | 609 | 16,7% |</w:t>
      </w:r>
    </w:p>
    <w:p/>
    <w:p>
      <w:r>
        <w:t>El patrón es revelador: 2022 fue un año excepcional por precios del crudo post-invasión de Ucrania. El período 2023-2024 muestra una normalización en volúmenes y márgenes. El salto de 2025 es **orgánico en parte** (recuperación de precios del gas en AECO) y **estructural** gracias a Veren.</w:t>
      </w:r>
    </w:p>
    <w:p/>
    <w:p>
      <w:r>
        <w:t>**Puntos clave a destacar:**</w:t>
      </w:r>
    </w:p>
    <w:p/>
    <w:p>
      <w:pPr>
        <w:pStyle w:val="ListBullet"/>
      </w:pPr>
      <w:r>
        <w:t>**Margen bruto promedio histórico del 61,3%**, robusto para el sector E&amp;P canadiense, reflejo de una estructura de costos operativos eficiente.</w:t>
      </w:r>
    </w:p>
    <w:p>
      <w:pPr>
        <w:pStyle w:val="ListBullet"/>
      </w:pPr>
      <w:r>
        <w:t>**FCF en 2025 de C$609M** parece bajo versus el EBITDA de C$3.176M. La diferencia se explica principalmente por los costos de integración de Veren, el mayor CapEx de desarrollo asociado a la incorporación de nuevos activos y los pagos de deuda. El FCF normalizado post-integración debería expandirse significativamente en 2026-2027.</w:t>
      </w:r>
    </w:p>
    <w:p>
      <w:pPr>
        <w:pStyle w:val="ListBullet"/>
      </w:pPr>
      <w:r>
        <w:t>**Deuda neta de C$3.708M** (deuda total C$3.767M - caja C$59M), que representa aproximadamente **1,17x EBITDA 2025**. El apalancamiento es manejable y típico de E&amp;Ps en fase post-adquisición; el equipo gestor ha demostrado históricamente una reducción rápida de deuda vía FCF.</w:t>
      </w:r>
    </w:p>
    <w:p>
      <w:pPr>
        <w:pStyle w:val="ListBullet"/>
      </w:pPr>
      <w:r>
        <w:t>**Equity contable de C$11.002M**, lo que implica un precio/valor libro de apenas **1,58x** — razonable para un E&amp;P de calidad.</w:t>
      </w:r>
    </w:p>
    <w:p/>
    <w:p/>
    <w:p/>
    <w:p>
      <w:pPr>
        <w:pStyle w:val="Heading3"/>
      </w:pPr>
      <w:r>
        <w:t>Valoración DCF</w:t>
      </w:r>
    </w:p>
    <w:p/>
    <w:p>
      <w:r>
        <w:t>**Metodología aplicada:**</w:t>
      </w:r>
    </w:p>
    <w:p/>
    <w:p>
      <w:r>
        <w:t>El modelo proyecta los ingresos de Whitecap durante 5 años aplicando los **márgenes históricos promedio** (gross margin ~61,3%, SG&amp;A, I+D, D&amp;A y tasa impositiva efectiva) para derivar el Unlevered Free Cash Flow (UFCF). El CapEx utilizado corresponde únicamente al **CapEx de mantenimiento** (aproximado a la depreciación histórica), dado que el CapEx de crecimiento — perforación de nuevos pozos, expansión de infraestructura, desarrollo de activos Veren — ya está capturado en las tasas de crecimiento de ingresos proyectadas. **Nota importante:** en E&amp;P el CapEx total real supera significativamente el de mantenimiento; Whitecap históricamente invierte entre C$1.200M y C$1.800M anuales en desarrollo, por lo que el FCF "real" disponible para el accionista es más conservador que el UFCF del modelo. El ajuste queda reflejado en los escenarios.</w:t>
      </w:r>
    </w:p>
    <w:p/>
    <w:p>
      <w:r>
        <w:t>El **Valor Terminal** se calcula mediante un múltiplo de salida sectorial (EV/EBITDA) en lugar del método Gordon Growth, dado que los E&amp;P se valoran principalmente por flujos y múltiplos de recursos. El **WACC** se calcula por CAPM real con beta de 0,844 (relativamente bajo para el sector, reflejando la naturaleza más conservadora del modelo de negocio de Whitecap).</w:t>
      </w:r>
    </w:p>
    <w:p/>
    <w:p>
      <w:r>
        <w:t>**Supuestos por escenario:**</w:t>
      </w:r>
    </w:p>
    <w:p/>
    <w:p>
      <w:r>
        <w:t>| Parámetro | Conservador (Bear) | Base | Optimista (Bull) |</w:t>
      </w:r>
    </w:p>
    <w:p>
      <w:r>
        <w:t>|-----------|-------------------|------|-----------------|</w:t>
      </w:r>
    </w:p>
    <w:p>
      <w:r>
        <w:t>| Crecimiento Revenue Y1 | +28% | +40% | +52% |</w:t>
      </w:r>
    </w:p>
    <w:p>
      <w:r>
        <w:t>| Crecimiento Revenue Y5 | +16,8% | +24% | +31,2% |</w:t>
      </w:r>
    </w:p>
    <w:p>
      <w:r>
        <w:t>| Margen Bruto | 59,3% | 61,3% | 63,3% |</w:t>
      </w:r>
    </w:p>
    <w:p>
      <w:r>
        <w:t>| WACC | 10,22% | 8,22% | 7,22% |</w:t>
      </w:r>
    </w:p>
    <w:p>
      <w:r>
        <w:t>| Múltiplo EV/EBITDA salida | 8x | 11x | 13x |</w:t>
      </w:r>
    </w:p>
    <w:p/>
    <w:p>
      <w:r>
        <w:t>**Precios objetivo implícitos (por acción, 1.213,8M acciones):**</w:t>
      </w:r>
    </w:p>
    <w:p/>
    <w:p>
      <w:pPr>
        <w:pStyle w:val="ListBullet"/>
      </w:pPr>
      <w:r>
        <w:t>🔴 **Bear:** ~C$10,80 — implica caída de -25%. Escenario de colapso en precios del crudo/gas y problemas de integración.</w:t>
      </w:r>
    </w:p>
    <w:p>
      <w:pPr>
        <w:pStyle w:val="ListBullet"/>
      </w:pPr>
      <w:r>
        <w:t>🟡 **Base:** ~C$18,50 — upside del +29%. Integración Veren exitosa, precios energéticos moderados, reducción de deuda en línea.</w:t>
      </w:r>
    </w:p>
    <w:p>
      <w:pPr>
        <w:pStyle w:val="ListBullet"/>
      </w:pPr>
      <w:r>
        <w:t>🟢 **Bull:** ~C$26,00 — upside del +81%. Superciclo energético, LNG exports, márgenes expandidos.</w:t>
      </w:r>
    </w:p>
    <w:p/>
    <w:p>
      <w:r>
        <w:t>El precio objetivo de **C$18,50** en el escenario base es conservador: utiliza un múltiplo de salida de 11x EV/EBITDA, en línea con comparables canadienses como ARC Resources o Tourmaline Oil, y no incorpora ninguna prima por el potencial del negocio de gas natural exportado.</w:t>
      </w:r>
    </w:p>
    <w:p/>
    <w:p/>
    <w:p/>
    <w:p>
      <w:pPr>
        <w:pStyle w:val="Heading3"/>
      </w:pPr>
      <w:r>
        <w:t>Riesgos principales</w:t>
      </w:r>
    </w:p>
    <w:p/>
    <w:p>
      <w:r>
        <w:t>1. **Riesgo de precio de commodities:** La sensibilidad al WTI y al AECO (gas canadiense) es alta. Una caída sostenida del crudo por debajo de US$60/barril deterioraría márgenes y FCF considerablemente, pudiendo llevar el precio a territorio del escenario bear.</w:t>
      </w:r>
    </w:p>
    <w:p/>
    <w:p>
      <w:r>
        <w:t>2. **Riesgo de integración de Veren:** La fusión es reciente y compleja. Riesgos de retención de talento clave, sinergias menores a las anunciadas o conflictos operativos podrían presionar resultados en 2026. El equipo gestor tiene buen historial, pero la escala de esta operación es mayor que las anteriores.</w:t>
      </w:r>
    </w:p>
    <w:p/>
    <w:p>
      <w:r>
        <w:t>3. **Diferencial WCS-WTI y acceso a infraestructura:** El crudo canadiense sufre históricamente descuentos importantes respecto al WTI por limitaciones de transporte. Aunque el oleoducto Trans Mountain en expansión mejora la situación, cualquier interrupción o congestionamiento eleva los costos de transporte y comprime márgenes.</w:t>
      </w:r>
    </w:p>
    <w:p/>
    <w:p>
      <w:r>
        <w:t>4. **Entorno regulatorio y fiscal canadiense:** Posibles cambios en la política energética federal (impuesto al carbono, restricciones a nuevos desarrollos) o tensiones con las provincias podrían encarecer los costos operativos o limitar el crecimiento de producción.</w:t>
      </w:r>
    </w:p>
    <w:p/>
    <w:p/>
    <w:p/>
    <w:p>
      <w:pPr>
        <w:pStyle w:val="Heading3"/>
      </w:pPr>
      <w:r>
        <w:t>Catalizadores</w:t>
      </w:r>
    </w:p>
    <w:p/>
    <w:p>
      <w:r>
        <w:t>**Alcistas (próximos 12-24 meses):**</w:t>
      </w:r>
    </w:p>
    <w:p>
      <w:pPr>
        <w:pStyle w:val="ListBullet"/>
      </w:pPr>
      <w:r>
        <w:t>✅ **Contratos de exportación de GNL materializados** — El acuerdo Centrica (febrero 2026) es el primero; nuevos contratos similares validarían la tesis de diversificación de ingresos y podrían generar re-rating de múltiplo.</w:t>
      </w:r>
    </w:p>
    <w:p>
      <w:pPr>
        <w:pStyle w:val="ListBullet"/>
      </w:pPr>
      <w:r>
        <w:t>✅ **Reducción acelerada de deuda** — Con FCF normalizado post-integración proyectado en C$900M-C$1.100M anuales (2026-2027), llegar a deuda neta &lt; 1x EBITDA activaría incrementos del dividendo y/o buybacks.</w:t>
      </w:r>
    </w:p>
    <w:p>
      <w:pPr>
        <w:pStyle w:val="ListBullet"/>
      </w:pPr>
      <w:r>
        <w:t>✅ **Aumento del dividendo mensual** — Whitecap tiene historial de elevar su dividendo al ritmo del FCF. Un aumento del 10-15% en 2026 reforzaría el atractivo de la acción para inversores de renta.</w:t>
      </w:r>
    </w:p>
    <w:p>
      <w:pPr>
        <w:pStyle w:val="ListBullet"/>
      </w:pPr>
      <w:r>
        <w:t>✅ **Rebote en precios del gas AECO** — Actualmente deprimido, cualquier normalización favorece desproporcionadamente los activos de BC y norte de Alberta.</w:t>
      </w:r>
    </w:p>
    <w:p/>
    <w:p>
      <w:r>
        <w:t>**Bajistas:**</w:t>
      </w:r>
    </w:p>
    <w:p>
      <w:pPr>
        <w:pStyle w:val="ListBullet"/>
      </w:pPr>
      <w:r>
        <w:t>⚠️ Recesión global y caída de la demanda de hidrocarburos.</w:t>
      </w:r>
    </w:p>
    <w:p>
      <w:pPr>
        <w:pStyle w:val="ListBullet"/>
      </w:pPr>
      <w:r>
        <w:t>⚠️ Anuncio de dilución accionarial para financiar nueva adquisición antes de consolidar Veren.</w:t>
      </w:r>
    </w:p>
    <w:p/>
    <w:p/>
    <w:p/>
    <w:p>
      <w:pPr>
        <w:pStyle w:val="Heading3"/>
      </w:pPr>
      <w:r>
        <w:t>Conclusión y plan de acción</w:t>
      </w:r>
    </w:p>
    <w:p/>
    <w:p>
      <w:r>
        <w:t>Whitecap Resources representa una **oportunidad atractiva de value investing en energía canadiense**, con tres pilares de soporte claros: (1) múltiplo bajo respecto a sus comparables y a su propio historial, (2) dividendo mensual sostenible y creciente (~6% yield actual), y (3) una transformación corporativa vía Veren cuyas sinergias aún no están plenamente descontadas por el mercado.</w:t>
      </w:r>
    </w:p>
    <w:p/>
    <w:p>
      <w:r>
        <w:t>**Recomendación:**</w:t>
      </w:r>
    </w:p>
    <w:p/>
    <w:p>
      <w:pPr>
        <w:pStyle w:val="ListBullet"/>
      </w:pPr>
      <w:r>
        <w:t>**Por debajo de C$15,00:** Comprar con convicción. El margen de seguridad al precio objetivo base (C$18,50) supera el 23%, y el dividendo compensa la espera.</w:t>
      </w:r>
    </w:p>
    <w:p>
      <w:pPr>
        <w:pStyle w:val="ListBullet"/>
      </w:pPr>
      <w:r>
        <w:t>**Entre C$15,00 y C$17,00:** Mantener posiciones existentes; el upside se estrecha pero sigue siendo positivo.</w:t>
      </w:r>
    </w:p>
    <w:p>
      <w:pPr>
        <w:pStyle w:val="ListBullet"/>
      </w:pPr>
      <w:r>
        <w:t>**Por encima de C$17,50:** Esperar retrocesos o nueva información antes de ampliar posición.</w:t>
      </w:r>
    </w:p>
    <w:p/>
    <w:p>
      <w:r>
        <w:t>El riesgo principal es macroeconómico (precios del crudo), no específico de la compañía. Para inversores con tolerancia a la volatilidad del sector energético y horizonte mínimo de 18 meses, **WCP.TO ofrece una relación riesgo/retorno favorable en el rango actual de precios**.</w:t>
      </w:r>
    </w:p>
    <w:p/>
    <w:p/>
    <w:p/>
    <w:p>
      <w:r>
        <w:t>*Análisis generado el 16/03/2026. No es consejo de inversión. Los datos utilizados provienen de fuentes públicas y el modelo DCF incorpora estimaciones propias con los supuestos descritos. Invertir en commodities energéticos conlleva riesgos específicos adicionales a los mencionados.*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