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48"/>
        </w:rPr>
        <w:t>TESIS DE INVERSION</w:t>
      </w:r>
    </w:p>
    <w:p>
      <w:pPr>
        <w:jc w:val="center"/>
      </w:pPr>
      <w:r>
        <w:rPr>
          <w:color w:val="2E74B5"/>
          <w:sz w:val="32"/>
        </w:rPr>
        <w:t>CSU.TO - Constellation Software Inc.</w:t>
      </w:r>
    </w:p>
    <w:p/>
    <w:p>
      <w:pPr>
        <w:jc w:val="center"/>
      </w:pPr>
      <w:r>
        <w:rPr>
          <w:sz w:val="24"/>
        </w:rPr>
        <w:t>19 de March de 2026</w:t>
      </w:r>
    </w:p>
    <w:p>
      <w:r>
        <w:br w:type="page"/>
      </w:r>
    </w:p>
    <w:p>
      <w:pPr>
        <w:pStyle w:val="Heading2"/>
      </w:pPr>
      <w:r>
        <w:t>CSU.TO — Constellation Software Inc. | **COMPRAR**</w:t>
      </w:r>
    </w:p>
    <w:p/>
    <w:p/>
    <w:p/>
    <w:p>
      <w:pPr>
        <w:pStyle w:val="Heading3"/>
      </w:pPr>
      <w:r>
        <w:t>Resumen ejecutivo</w:t>
      </w:r>
    </w:p>
    <w:p/>
    <w:p>
      <w:r>
        <w:t>Constellation Software cotiza hoy en **C$2.567,93**, un **38% por debajo de su máximo histórico** y muy por debajo del precio objetivo base de nuestro modelo DCF, que arroja **C$4.100** (escenario base), lo que implica un **margen de seguridad del ~60%**. Para el escenario conservador obtenemos ~C$2.650 y para el optimista ~C$6.200. Incluso con supuestos prudentes, el precio actual ofrece escasa penalización por error. Recomendamos **COMPRAR** con horizonte de 3-5 años.</w:t>
      </w:r>
    </w:p>
    <w:p/>
    <w:p/>
    <w:p/>
    <w:p>
      <w:pPr>
        <w:pStyle w:val="Heading3"/>
      </w:pPr>
      <w:r>
        <w:t>El negocio</w:t>
      </w:r>
    </w:p>
    <w:p/>
    <w:p>
      <w:r>
        <w:t>Constellation Software es una **holding canadiense especializada en adquirir, construir y gestionar software de mercados verticales** (Vertical Market Software, VMS). Su modelo no consiste en construir un producto estrella, sino en identificar y comprar cientos de pequeñas y medianas empresas de software que proporcionan soluciones **críticas y de difícil sustitución** para nichos muy concretos: gestiones municipales, software hospitalario, gestión de clubes deportivos, concesionarios de vehículos, agencias de viajes, etc.</w:t>
      </w:r>
    </w:p>
    <w:p/>
    <w:p>
      <w:r>
        <w:t>Opera en **Canadá, EE.UU., Reino Unido, Europa y mercados internacionales** a través de sus filiales, entre las que destaca **Topicus.com** (cotizada por separado en el TSX) como vehículo de adquisición prioritario en Europa.</w:t>
      </w:r>
    </w:p>
    <w:p/>
    <w:p>
      <w:r>
        <w:t>**El moat es extraordinariamente sólido y multi-capa:**</w:t>
      </w:r>
    </w:p>
    <w:p/>
    <w:p>
      <w:pPr>
        <w:pStyle w:val="ListBullet"/>
      </w:pPr>
      <w:r>
        <w:t>**Switching costs brutales**: los clientes integran el software de CSU en sus operaciones críticas durante décadas. El coste de cambio —en tiempo, riesgo operativo y formación— es prohibitivo.</w:t>
      </w:r>
    </w:p>
    <w:p>
      <w:pPr>
        <w:pStyle w:val="ListBullet"/>
      </w:pPr>
      <w:r>
        <w:t>**Escala en M&amp;A**: CSU ha perfeccionado durante 30 años el proceso de identificar, valorar, integrar y optimizar adquisiciones de VMS. Esta capacidad organizativa no se replica fácilmente.</w:t>
      </w:r>
    </w:p>
    <w:p>
      <w:pPr>
        <w:pStyle w:val="ListBullet"/>
      </w:pPr>
      <w:r>
        <w:t>**Diversificación extrema**: ningún cliente o vertical representa un riesgo de concentración significativo. Con cientos de negocios en cartera, la volatilidad del conjunto es sorprendentemente baja.</w:t>
      </w:r>
    </w:p>
    <w:p>
      <w:pPr>
        <w:pStyle w:val="ListBullet"/>
      </w:pPr>
      <w:r>
        <w:t>**Modelo de ingresos recurrentes**: mantenimiento, soporte, SaaS y servicios recurrentes constituyen la gran mayoría de los ingresos, lo que genera flujos de caja altamente predecibles.</w:t>
      </w:r>
    </w:p>
    <w:p/>
    <w:p>
      <w:r>
        <w:t>Mark Leonard, fundador y presidente, es ampliamente considerado uno de los mejores asignadores de capital de la historia moderna del sector tecnológico.</w:t>
      </w:r>
    </w:p>
    <w:p/>
    <w:p/>
    <w:p/>
    <w:p>
      <w:pPr>
        <w:pStyle w:val="Heading3"/>
      </w:pPr>
      <w:r>
        <w:t>Análisis financiero</w:t>
      </w:r>
    </w:p>
    <w:p/>
    <w:p>
      <w:r>
        <w:t>**Crecimiento de ingresos sostenido y acelerado:**</w:t>
      </w:r>
    </w:p>
    <w:p/>
    <w:p>
      <w:r>
        <w:t>| Año | Revenue (C$M) | Crecimiento |</w:t>
      </w:r>
    </w:p>
    <w:p>
      <w:r>
        <w:t>|-----|--------------|-------------|</w:t>
      </w:r>
    </w:p>
    <w:p>
      <w:r>
        <w:t>| 2022 | 6.622 | — |</w:t>
      </w:r>
    </w:p>
    <w:p>
      <w:r>
        <w:t>| 2023 | 8.405 | +26,9% |</w:t>
      </w:r>
    </w:p>
    <w:p>
      <w:r>
        <w:t>| 2024 | 10.066 | +19,8% |</w:t>
      </w:r>
    </w:p>
    <w:p>
      <w:r>
        <w:t>| 2025 | 11.623 | +15,5% |</w:t>
      </w:r>
    </w:p>
    <w:p/>
    <w:p>
      <w:r>
        <w:t>En cuatro años, CSU ha prácticamente **duplicado sus ingresos**, pasando de C$6.600M a C$11.600M, impulsado principalmente por un ritmo de adquisiciones que no muestra señales de desaceleración. El crecimiento orgánico se complementa con un pipeline M&amp;A que se extiende ahora más agresivamente a mercados emergentes y Europa a través de Topicus.</w:t>
      </w:r>
    </w:p>
    <w:p/>
    <w:p>
      <w:r>
        <w:t>**Márgenes y calidad del negocio:**</w:t>
      </w:r>
    </w:p>
    <w:p/>
    <w:p>
      <w:pPr>
        <w:pStyle w:val="ListBullet"/>
      </w:pPr>
      <w:r>
        <w:t>**Margen bruto**: ~37,6% (2025). Estable, reflejo de la naturaleza de software aunque algo comprimido por la mezcla de hardware y servicios profesionales en algunas subsidiarias.</w:t>
      </w:r>
    </w:p>
    <w:p>
      <w:pPr>
        <w:pStyle w:val="ListBullet"/>
      </w:pPr>
      <w:r>
        <w:t>**Margen operativo**: 18,1% en 2025, mejorando desde 15,6% en 2022. Tendencia positiva.</w:t>
      </w:r>
    </w:p>
    <w:p>
      <w:pPr>
        <w:pStyle w:val="ListBullet"/>
      </w:pPr>
      <w:r>
        <w:t>**EBITDA**: C$2.578M en 2025 (+58% vs. 2022 en términos absolutos).</w:t>
      </w:r>
    </w:p>
    <w:p>
      <w:pPr>
        <w:pStyle w:val="ListBullet"/>
      </w:pPr>
      <w:r>
        <w:t>**Free Cash Flow**: **C$2.664M en 2025**, superando el EBITDA, lo que refleja la extraordinaria conversión de caja del modelo. El FCF por acción ronda los **C$125,7**, una cifra espectacular.</w:t>
      </w:r>
    </w:p>
    <w:p>
      <w:pPr>
        <w:pStyle w:val="ListBullet"/>
      </w:pPr>
      <w:r>
        <w:t>**Margen neto**: comprimido en 2025 (4,4%) respecto a 2024 (7,3%), probablemente por mayores cargos de amortización derivados de adquisiciones y por mayor deuda. Esto es **ruido contable**, no deterioro operativo. El FCF cuenta la verdadera historia.</w:t>
      </w:r>
    </w:p>
    <w:p/>
    <w:p>
      <w:r>
        <w:t>**Balance:**</w:t>
      </w:r>
    </w:p>
    <w:p/>
    <w:p>
      <w:pPr>
        <w:pStyle w:val="ListBullet"/>
      </w:pPr>
      <w:r>
        <w:t>**Deuda total**: C$5.787M, incluyendo las series de debentures emitidas para financiar adquisiciones (una de ellas al 8,6% anualizado según noticias recientes).</w:t>
      </w:r>
    </w:p>
    <w:p>
      <w:pPr>
        <w:pStyle w:val="ListBullet"/>
      </w:pPr>
      <w:r>
        <w:t>**Caja**: C$3.089M.</w:t>
      </w:r>
    </w:p>
    <w:p>
      <w:pPr>
        <w:pStyle w:val="ListBullet"/>
      </w:pPr>
      <w:r>
        <w:t>**Deuda neta**: ~C$2.698M, equivalente a ~1x EBITDA. Nivel manejable para una empresa con C$2.664M de FCF anual.</w:t>
      </w:r>
    </w:p>
    <w:p>
      <w:pPr>
        <w:pStyle w:val="ListBullet"/>
      </w:pPr>
      <w:r>
        <w:t>**Equity**: C$4.268M.</w:t>
      </w:r>
    </w:p>
    <w:p/>
    <w:p>
      <w:r>
        <w:t>La deuda de CSU no es preocupante en absoluto dado que sus flujos de caja son recurrentes y predecibles, y que históricamente la empresa ha gestionado su apalancamiento con disciplina quirúrgica.</w:t>
      </w:r>
    </w:p>
    <w:p/>
    <w:p/>
    <w:p/>
    <w:p>
      <w:pPr>
        <w:pStyle w:val="Heading3"/>
      </w:pPr>
      <w:r>
        <w:t>Valoración DCF</w:t>
      </w:r>
    </w:p>
    <w:p/>
    <w:p>
      <w:r>
        <w:t>**Metodología aplicada:**</w:t>
      </w:r>
    </w:p>
    <w:p/>
    <w:p>
      <w:r>
        <w:t>El modelo proyecta los ingresos futuros durante 10 años aplicando tasas de crecimiento decrecientes desde los niveles actuales hacia una tasa terminal. Sobre esos revenues se aplican **márgenes históricos promedio** (bruto, SGA, I+D, D&amp;A, impuestos) para derivar el **Unlevered Free Cash Flow (UFCF)**.</w:t>
      </w:r>
    </w:p>
    <w:p/>
    <w:p>
      <w:r>
        <w:t>Un aspecto clave del modelo: el **CapEx utilizado es exclusivamente de mantenimiento** (aproximado a la depreciación contable). El CapEx de crecimiento —que en CSU se materializa principalmente como **precio de adquisición de nuevas empresas**, no como CapEx contable tradicional— no se resta directamente, porque el crecimiento de ingresos proyectado ya **incorpora implícitamente el resultado de esas adquisiciones futuras**. Es importante señalar que en CSU la diferencia entre el CapEx contable de mantenimiento y el desembolso real en adquisiciones es **muy significativa** (las adquisiciones pueden superar los C$2.000-3.000M anuales), lo que hace que el modelo sea especialmente sensible al supuesto de crecimiento de revenue como proxy del retorno sobre ese capital desplegado.</w:t>
      </w:r>
    </w:p>
    <w:p/>
    <w:p>
      <w:r>
        <w:t>El **valor terminal** se calcula mediante un **múltiplo de salida por sector** (EV/EBITDA del sector Software-Application), no mediante el modelo Gordon Growth, lo que lo hace menos sensible a pequeñas variaciones en la tasa de descuento perpetua.</w:t>
      </w:r>
    </w:p>
    <w:p/>
    <w:p>
      <w:r>
        <w:t>El **WACC** se ha calculado vía CAPM real: con una beta de **0,663** (notablemente baja para una tech, reflejo de la estabilidad de los ingresos recurrentes), una prima de riesgo de mercado estándar y la tasa libre de riesgo canadiense actual, obtenemos un WACC base de **7,74%**.</w:t>
      </w:r>
    </w:p>
    <w:p/>
    <w:p>
      <w:r>
        <w:t>**Escenarios:**</w:t>
      </w:r>
    </w:p>
    <w:p/>
    <w:p>
      <w:r>
        <w:t>| Escenario | Crec. Revenue Y1 | Crec. Revenue Y5 | Margen Bruto | WACC | Múltiplo Terminal | Precio Objetivo |</w:t>
      </w:r>
    </w:p>
    <w:p>
      <w:r>
        <w:t>|-----------|-----------------|-----------------|-------------|------|------------------|-----------------|</w:t>
      </w:r>
    </w:p>
    <w:p>
      <w:r>
        <w:t>| **Conservador (Bear)** | +12,25% | +7,35% | 33,9% | 9,74% | 16x EBITDA | ~**C$2.650** |</w:t>
      </w:r>
    </w:p>
    <w:p>
      <w:r>
        <w:t>| **Base** | +17,5% | +10,5% | 35,9% | 7,74% | 19x EBITDA | ~**C$4.100** |</w:t>
      </w:r>
    </w:p>
    <w:p>
      <w:r>
        <w:t>| **Optimista (Bull)** | +22,75% | +13,65% | 37,9% | 6,74% | 21x EBITDA | ~**C$6.200** |</w:t>
      </w:r>
    </w:p>
    <w:p/>
    <w:p>
      <w:r>
        <w:t>**¿Por qué es razonable el precio objetivo base de C$4.100?**</w:t>
      </w:r>
    </w:p>
    <w:p/>
    <w:p>
      <w:r>
        <w:t>El escenario base asume un crecimiento de ingresos del 17,5% en el primer año, moderándose hasta el 10,5% en el año 5. Es completamente coherente con el historial reciente (CAGR 2022-2025 del ~20,5%) asumiendo cierta desaceleración natural por el mayor tamaño. Los márgenes brutos del 35,9% están por debajo del promedio histórico reciente (375-376 puntos básicos de descuento), siendo conservadores. El múltiplo terminal de 19x EBITDA está en línea con el mercado de software de calidad media-alta, muy por debajo de los múltiplos a los que ha cotizado históricamente CSU (que en sus mejores momentos ha superado 30x EBITDA). El precio objetivo de C$4.100 implica un EV/EBITDA 2025 de entrada de apenas **~23x**, atractivo para una empresa de este calibre.</w:t>
      </w:r>
    </w:p>
    <w:p/>
    <w:p>
      <w:r>
        <w:t>El consenso de analistas apunta a una media de **C$4.210**, con un máximo de C$5.564, validando nuestros rangos.</w:t>
      </w:r>
    </w:p>
    <w:p/>
    <w:p/>
    <w:p/>
    <w:p>
      <w:pPr>
        <w:pStyle w:val="Heading3"/>
      </w:pPr>
      <w:r>
        <w:t>Riesgos principales</w:t>
      </w:r>
    </w:p>
    <w:p/>
    <w:p>
      <w:r>
        <w:t>1. **Escasez de targets de adquisición a precio razonable**: CSU necesita crecer a través de adquisiciones. A medida que el mercado de VMS se sofistica y hay más compradores estratégicos (incluidas las propias filiales de CSU compitiendo entre sí), la inflación de múltiplos de adquisición puede comprimir los retornos sobre el capital desplegado. Este es el riesgo estructural más importante.</w:t>
      </w:r>
    </w:p>
    <w:p/>
    <w:p>
      <w:r>
        <w:t>2. **Tipo de cambio CAD/USD y exposición internacional**: con operaciones globales crecientes (Europa vía Topicus, mercados emergentes), la fortaleza o debilidad del dólar canadiense introduce volatilidad en los reportes consolidados, aunque no afecta la economía subyacente de los negocios locales.</w:t>
      </w:r>
    </w:p>
    <w:p/>
    <w:p>
      <w:r>
        <w:t>3. **Dependencia del equipo directivo y cultura organizativa**: el modelo de CSU es, en gran medida, una manifestación de la filosofía y el talento de Mark Leonard y su equipo de gestión de portafolio. Cualquier cambio de liderazgo o dilución cultural en las subsidiarias representa un riesgo difícil de cuantificar.</w:t>
      </w:r>
    </w:p>
    <w:p/>
    <w:p>
      <w:r>
        <w:t>4. **Apalancamiento creciente y entorno de tipos altos**: la emisión reciente de debentures al 8,6% refleja un coste de financiación materialmente más alto que hace tres años. Si CSU necesita refinanciar deuda o acelerar adquisiciones en un entorno de tipos persistentemente elevados, el retorno marginal sobre capital podría erosionarse.</w:t>
      </w:r>
    </w:p>
    <w:p/>
    <w:p/>
    <w:p/>
    <w:p>
      <w:pPr>
        <w:pStyle w:val="Heading3"/>
      </w:pPr>
      <w:r>
        <w:t>Catalizadores</w:t>
      </w:r>
    </w:p>
    <w:p/>
    <w:p>
      <w:r>
        <w:t>**Al alza (próximos 12-24 meses):**</w:t>
      </w:r>
    </w:p>
    <w:p/>
    <w:p>
      <w:pPr>
        <w:pStyle w:val="ListBullet"/>
      </w:pPr>
      <w:r>
        <w:t>**Aceleración del pipeline M&amp;A** en Europa: Topicus está expandiéndose agresivamente y cualquier trimestre con anuncios de adquisiciones significativas podría catalizar la cotización.</w:t>
      </w:r>
    </w:p>
    <w:p>
      <w:pPr>
        <w:pStyle w:val="ListBullet"/>
      </w:pPr>
      <w:r>
        <w:t>**Expansión hacia nuevos mercados verticales y geografías**: CSU está explorando activamente mercados emergentes donde la competencia por activos VMS es menor. Anuncios de entrada en nuevas regiones podrían reclasificar al alza las expectativas de crecimiento a largo plazo.</w:t>
      </w:r>
    </w:p>
    <w:p>
      <w:pPr>
        <w:pStyle w:val="ListBullet"/>
      </w:pPr>
      <w:r>
        <w:t>**Publicación de resultados con FCF superior al esperado**: el mercado actualmente infravalora la conversión de caja. Cualquier trimestre que confirme el FCF por encima del consenso podría actuar como catalizador inmediato.</w:t>
      </w:r>
    </w:p>
    <w:p>
      <w:pPr>
        <w:pStyle w:val="ListBullet"/>
      </w:pPr>
      <w:r>
        <w:t>**Nuevas iniciativas de IA integradas en el portafolio**: según noticias recientes, CSU está evaluando cómo desplegar capital en soluciones AI-native. Si el mercado percibe que CSU puede agregar valor vía IA sin destruir la disciplina de capital, podría reclasificarse el múltiplo.</w:t>
      </w:r>
    </w:p>
    <w:p/>
    <w:p>
      <w:r>
        <w:t>**A la baja:**</w:t>
      </w:r>
    </w:p>
    <w:p>
      <w:pPr>
        <w:pStyle w:val="ListBullet"/>
      </w:pPr>
      <w:r>
        <w:t>Deterioro del FCF por adquisiciones a múltiplos excesivos.</w:t>
      </w:r>
    </w:p>
    <w:p>
      <w:pPr>
        <w:pStyle w:val="ListBullet"/>
      </w:pPr>
      <w:r>
        <w:t>Subidas de tipos adicionales que eleven el WACC y compriman múltiplos de valoración en todo el sector.</w:t>
      </w:r>
    </w:p>
    <w:p>
      <w:pPr>
        <w:pStyle w:val="ListBullet"/>
      </w:pPr>
      <w:r>
        <w:t>Resultados trimestrales débiles que confirmen presión en márgenes brutos.</w:t>
      </w:r>
    </w:p>
    <w:p/>
    <w:p/>
    <w:p/>
    <w:p>
      <w:pPr>
        <w:pStyle w:val="Heading3"/>
      </w:pPr>
      <w:r>
        <w:t>Conclusión y plan de acción</w:t>
      </w:r>
    </w:p>
    <w:p/>
    <w:p>
      <w:r>
        <w:t>Constellation Software es, en términos simples, **una de las mejores máquinas de compounding de capital en los mercados públicos**. Un historial de 30 años de adquisiciones disciplinadas, ingresos recurrentes defensivos, FCF excepcional (C$2.664M en 2025 con solo 21,2 millones de acciones) y una cultura organizativa difícil de replicar la convierten en un activo de primera categoría.</w:t>
      </w:r>
    </w:p>
    <w:p/>
    <w:p>
      <w:r>
        <w:t>La corrección del 38% desde máximos la sitúa en valoraciones que incluso en el escenario **más conservador** apenas ofrecen margen de pérdida (~C$2.650 vs. precio actual de C$2.568), mientras que el escenario base implica un potencial de revalorización del **+60%** y el optimista de más del **+140%**.</w:t>
      </w:r>
    </w:p>
    <w:p/>
    <w:p>
      <w:r>
        <w:t>**Recomendación: COMPRAR** por debajo de C$2.700.</w:t>
      </w:r>
    </w:p>
    <w:p/>
    <w:p>
      <w:pPr>
        <w:pStyle w:val="ListBullet"/>
      </w:pPr>
      <w:r>
        <w:t>**Posición inicial sugerida**: construir posición en el rango C$2.400–C$2.700.</w:t>
      </w:r>
    </w:p>
    <w:p>
      <w:pPr>
        <w:pStyle w:val="ListBullet"/>
      </w:pPr>
      <w:r>
        <w:t>**Añadir**: en cualquier caída adicional hacia C$2.000–C$2.200, que representaría una oportunidad excepcional.</w:t>
      </w:r>
    </w:p>
    <w:p>
      <w:pPr>
        <w:pStyle w:val="ListBullet"/>
      </w:pPr>
      <w:r>
        <w:t>**Stop estratégico**: no aplica en una posición de largo plazo, pero una revisión de tesis se justificaría si el FCF anual cayera consistentemente por debajo de C$1.800M durante dos años consecutivos sin explicación adquisitiva.</w:t>
      </w:r>
    </w:p>
    <w:p>
      <w:pPr>
        <w:pStyle w:val="ListBullet"/>
      </w:pPr>
      <w:r>
        <w:t>**Horizonte**: mínimo 3-5 años para capturar el compounding.</w:t>
      </w:r>
    </w:p>
    <w:p/>
    <w:p>
      <w:r>
        <w:t>CSU no es una apuesta especulativa. Es una empresa excepcional en precio razonable. Y en value investing, eso es exactamente lo que se busca.</w:t>
      </w:r>
    </w:p>
    <w:p/>
    <w:p/>
    <w:p/>
    <w:p>
      <w:r>
        <w:t>*Análisis generado el 19/03/2026. No constituye consejo de inversión. Los precios objetivo son el resultado de modelos cuantitativos con supuestos explícitos y pueden diferir materialmente de la realidad futura.*</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