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AFM.V - Alphamin Resources Corp.</w:t>
      </w:r>
    </w:p>
    <w:p/>
    <w:p>
      <w:pPr>
        <w:jc w:val="center"/>
      </w:pPr>
      <w:r>
        <w:rPr>
          <w:sz w:val="24"/>
        </w:rPr>
        <w:t>20 de March de 2026</w:t>
      </w:r>
    </w:p>
    <w:p>
      <w:r>
        <w:br w:type="page"/>
      </w:r>
    </w:p>
    <w:p>
      <w:pPr>
        <w:pStyle w:val="Heading2"/>
      </w:pPr>
      <w:r>
        <w:t>AFM.V — Alphamin Resources Corp. | **COMPRA FUERTE**</w:t>
      </w:r>
    </w:p>
    <w:p/>
    <w:p/>
    <w:p/>
    <w:p>
      <w:pPr>
        <w:pStyle w:val="Heading3"/>
      </w:pPr>
      <w:r>
        <w:t>Resumen ejecutivo</w:t>
      </w:r>
    </w:p>
    <w:p/>
    <w:p>
      <w:r>
        <w:t>**Precio actual:** C$ 1,065 | **Precio objetivo (base):** C$ 3,42 | **Margen de seguridad: ~221%**</w:t>
      </w:r>
    </w:p>
    <w:p/>
    <w:p>
      <w:r>
        <w:t>Alphamin Resources es el mayor productor de estaño fuera de China e Indonesia, operando la mina de mayor ley del mundo (Bisie, RDC). Cotiza a múltiplos de deep value (EV/EBITDA ~4x, P/E ~9x) a pesar de generar flujos de caja libres extraordinarios, márgenes operativos superiores al 44% y un balance prácticamente sin deuda. El descuento refleja riesgo geopolítico (conflicto en RDC) y la naturaleza cíclica del commodity, pero creemos que el mercado infravalora severamente la calidad del activo, la dinámica estructural de oferta/demanda del estaño y el potencial de crecimiento orgánico. Recomendamos **compra decidida** con horizonte 12-36 meses.</w:t>
      </w:r>
    </w:p>
    <w:p/>
    <w:p/>
    <w:p/>
    <w:p>
      <w:pPr>
        <w:pStyle w:val="Heading3"/>
      </w:pPr>
      <w:r>
        <w:t>El negocio</w:t>
      </w:r>
    </w:p>
    <w:p/>
    <w:p>
      <w:r>
        <w:t>**Qué hace:** Alphamin Resources produce y vende concentrados de estaño desde la mina Bisie, ubicada en la provincia de Kivu Norte, República Democrática del Congo. Es la mina de estaño de mayor ley a nivel global (~4% Sn), lo que le confiere una estructura de costos extraordinariamente baja.</w:t>
      </w:r>
    </w:p>
    <w:p/>
    <w:p>
      <w:r>
        <w:t>**Mercado del estaño:** El estaño es un metal crítico con demanda estructural creciente impulsada por:</w:t>
      </w:r>
    </w:p>
    <w:p>
      <w:pPr>
        <w:pStyle w:val="ListBullet"/>
      </w:pPr>
      <w:r>
        <w:t>**Soldadura electrónica** (&gt;50% de la demanda global): indispensable en semiconductores, PCBs y toda la cadena de electrónica.</w:t>
      </w:r>
    </w:p>
    <w:p>
      <w:pPr>
        <w:pStyle w:val="ListBullet"/>
      </w:pPr>
      <w:r>
        <w:t>**Transición energética:** baterías, paneles solares y componentes EV.</w:t>
      </w:r>
    </w:p>
    <w:p>
      <w:pPr>
        <w:pStyle w:val="ListBullet"/>
      </w:pPr>
      <w:r>
        <w:t>**Oferta restringida:** las principales minas maduran, Myanmar redujo exportaciones, e Indonesia aplica restricciones regulatorias crecientes.</w:t>
      </w:r>
    </w:p>
    <w:p/>
    <w:p>
      <w:r>
        <w:t>**Moat / Ventaja competitiva:**</w:t>
      </w:r>
    </w:p>
    <w:p>
      <w:r>
        <w:t>1. **Ley mineral excepcional (~4% Sn):** 4-5x superior al promedio de la industria, lo que genera costos unitarios muy por debajo de la curva.</w:t>
      </w:r>
    </w:p>
    <w:p>
      <w:r>
        <w:t>2. **Posición dominante:** Alphamin produce ~5-6% del estaño mundial, siendo el mayor productor no estatal fuera de Asia.</w:t>
      </w:r>
    </w:p>
    <w:p>
      <w:r>
        <w:t>3. **Barreras de entrada:** desarrollar una mina de estaño comparable requiere décadas de exploración, permisos y capex. No hay proyectos greenfield significativos en pipeline global.</w:t>
      </w:r>
    </w:p>
    <w:p>
      <w:r>
        <w:t>4. **Nuevo accionista estratégico:** Abu Dhabi's International Resources Holding (IRH) adquirió participación de control (junio 2025), aportando respaldo financiero y geopolítico.</w:t>
      </w:r>
    </w:p>
    <w:p/>
    <w:p/>
    <w:p/>
    <w:p>
      <w:pPr>
        <w:pStyle w:val="Heading3"/>
      </w:pPr>
      <w:r>
        <w:t>Análisis financiero</w:t>
      </w:r>
    </w:p>
    <w:p/>
    <w:p>
      <w:r>
        <w:t>| Métrica | 2022 | 2023 | 2024 | 2025 (últimos) |</w:t>
      </w:r>
    </w:p>
    <w:p>
      <w:r>
        <w:t>|---|---|---|---|---|</w:t>
      </w:r>
    </w:p>
    <w:p>
      <w:r>
        <w:t>| **Revenue (US$M)** | 391 | 289 | 528 | 621 |</w:t>
      </w:r>
    </w:p>
    <w:p>
      <w:r>
        <w:t>| **EBITDA (US$M)** | 217 | 134 | 258 | 344 |</w:t>
      </w:r>
    </w:p>
    <w:p>
      <w:r>
        <w:t>| **Net Income (US$M)** | 101 | 47 | 101 | 148 |</w:t>
      </w:r>
    </w:p>
    <w:p>
      <w:r>
        <w:t>| **FCF (US$M)** | 133 | (115) | 135 | 184 |</w:t>
      </w:r>
    </w:p>
    <w:p>
      <w:r>
        <w:t>| **Margen bruto** | ~49% | ~47% | ~49% | 50.0% |</w:t>
      </w:r>
    </w:p>
    <w:p>
      <w:r>
        <w:t>| **Margen operativo** | 49.2% | 36.8% | 41.3% | 44.5% |</w:t>
      </w:r>
    </w:p>
    <w:p>
      <w:r>
        <w:t>| **Margen neto** | 25.8% | 16.4% | 19.1% | 23.8% |</w:t>
      </w:r>
    </w:p>
    <w:p/>
    <w:p>
      <w:r>
        <w:t>**Tendencias clave:**</w:t>
      </w:r>
    </w:p>
    <w:p/>
    <w:p>
      <w:pPr>
        <w:pStyle w:val="ListBullet"/>
      </w:pPr>
      <w:r>
        <w:t>**Revenue:** CAGR 2022-2025 del ~16.7%, pero con alta volatilidad por el precio del estaño. La caída de 2023 reflejó precios deprimidos del metal (~US$25,000/t); la recuperación 2024-2025 acompaña precios &gt;US$30,000/t y mayor producción.</w:t>
      </w:r>
    </w:p>
    <w:p>
      <w:pPr>
        <w:pStyle w:val="ListBullet"/>
      </w:pPr>
      <w:r>
        <w:t>**Márgenes:** extraordinarios para minería. El margen EBITDA promedio 4 años es ~51%. El margen bruto se mantiene consistente en ~49%, señal de ventaja estructural de costos.</w:t>
      </w:r>
    </w:p>
    <w:p>
      <w:pPr>
        <w:pStyle w:val="ListBullet"/>
      </w:pPr>
      <w:r>
        <w:t>**FCF:** el FCF negativo de 2023 (~US$115M) se explica por inversión de crecimiento (expansión Mpama South + exploración), no por deterioro operativo. En 2024-2025 la generación de caja se normalizó con fuerza (US$135M y US$184M respectivamente).</w:t>
      </w:r>
    </w:p>
    <w:p>
      <w:pPr>
        <w:pStyle w:val="ListBullet"/>
      </w:pPr>
      <w:r>
        <w:t>**Balance sólido:** Deuda total de US$44M vs. EBITDA de US$344M = **Deuda neta/EBITDA ≈ 0.13x**. Prácticamente libre de deuda. El equity es US$447M.</w:t>
      </w:r>
    </w:p>
    <w:p>
      <w:pPr>
        <w:pStyle w:val="ListBullet"/>
      </w:pPr>
      <w:r>
        <w:t>**Rendimiento al accionista:** FCF yield sobre market cap actual (~C$1,362M ≈ US$980M) = **~18.8%**. Extraordinario.</w:t>
      </w:r>
    </w:p>
    <w:p/>
    <w:p>
      <w:r>
        <w:t>**Nota sobre la posición de caja:** El dato de caja (US$9,875) parece anómalo y probablemente refleja una clasificación contable particular o un timing de reporting. La generación de FCF del período y la baja deuda sugieren una posición de liquidez real mucho más holgada.</w:t>
      </w:r>
    </w:p>
    <w:p/>
    <w:p/>
    <w:p/>
    <w:p>
      <w:pPr>
        <w:pStyle w:val="Heading3"/>
      </w:pPr>
      <w:r>
        <w:t>Valoración DCF</w:t>
      </w:r>
    </w:p>
    <w:p/>
    <w:p>
      <w:r>
        <w:t>**Metodología:** Proyectamos revenues a 5 años y aplicamos márgenes históricos promedio (bruto, SGA, R&amp;D, D&amp;A, impuestos) para derivar el Unlevered Free Cash Flow (UFCF). El CapEx empleado es solo de mantenimiento (≈ Depreciación &amp; Amortización), ya que el CapEx de crecimiento (expansión de Mpama South, exploración greenfield) está implícitamente capturado en el crecimiento de revenue proyectado. En una empresa minera como Alphamin, la diferencia entre CapEx total y maintenance puede ser muy significativa en años de desarrollo (como 2023, cuando el FCF fue negativo por la construcción de Mpama South); esto es importante tenerlo en cuenta. El Terminal Value se calcula mediante un múltiplo de salida sectorial (minería de metales industriales). El WACC se calcula vía CAPM (beta de 0.784, bastante bajo para una minera en RDC).</w:t>
      </w:r>
    </w:p>
    <w:p/>
    <w:p>
      <w:r>
        <w:t>#### Supuestos clave por escenario:</w:t>
      </w:r>
    </w:p>
    <w:p/>
    <w:p>
      <w:r>
        <w:t>| Parámetro | Bear | Base | Bull |</w:t>
      </w:r>
    </w:p>
    <w:p>
      <w:r>
        <w:t>|---|---|---|---|</w:t>
      </w:r>
    </w:p>
    <w:p>
      <w:r>
        <w:t>| Crecimiento Rev. Año 1 | 23.3% | 33.3% | 43.3% |</w:t>
      </w:r>
    </w:p>
    <w:p>
      <w:r>
        <w:t>| Crecimiento Rev. Año 5 | 14.0% | 20.0% | 26.0% |</w:t>
      </w:r>
    </w:p>
    <w:p>
      <w:r>
        <w:t>| Margen bruto | 47.1% | 49.1% | 51.1% |</w:t>
      </w:r>
    </w:p>
    <w:p>
      <w:r>
        <w:t>| WACC | 10.66% | 8.66% | 7.66% |</w:t>
      </w:r>
    </w:p>
    <w:p>
      <w:r>
        <w:t>| Múltiplo terminal (EV/EBITDA) | 9x | 12x | 14x |</w:t>
      </w:r>
    </w:p>
    <w:p/>
    <w:p>
      <w:r>
        <w:t>**Nota sobre WACC:** El WACC calculado (8.66% base) puede parecer bajo para una operación en RDC. Sin embargo, el modelo utiliza el beta observado de mercado (0.784), que ya incorpora la percepción de riesgo del mercado. Adicionalmente, el escenario bear aplica un WACC de 10.66% como stress test.</w:t>
      </w:r>
    </w:p>
    <w:p/>
    <w:p>
      <w:r>
        <w:t>#### Resultados de valoración:</w:t>
      </w:r>
    </w:p>
    <w:p/>
    <w:p>
      <w:r>
        <w:t>| Escenario | Valor intrínseco por acción (C$) | Upside vs. precio actual |</w:t>
      </w:r>
    </w:p>
    <w:p>
      <w:r>
        <w:t>|---|---|---|</w:t>
      </w:r>
    </w:p>
    <w:p>
      <w:r>
        <w:t>| **Bear (conservador)** | **~C$ 1,85** | **+74%** |</w:t>
      </w:r>
    </w:p>
    <w:p>
      <w:r>
        <w:t>| **Base** | **~C$ 3,42** | **+221%** |</w:t>
      </w:r>
    </w:p>
    <w:p>
      <w:r>
        <w:t>| **Bull (optimista)** | **~C$ 5,50** | **+417%** |</w:t>
      </w:r>
    </w:p>
    <w:p/>
    <w:p>
      <w:r>
        <w:t>**¿Por qué es razonable?**</w:t>
      </w:r>
    </w:p>
    <w:p/>
    <w:p>
      <w:r>
        <w:t>Incluso en el escenario bear —que asume márgenes comprimidos de 47%, crecimiento más lento (estaño a precios bajos) y una tasa de descuento agresiva (10.66%)— el valor intrínseco supera el precio actual en un **74%**. Esto implica que el mercado está descontando un escenario peor que el pesimista: esencialmente, una destrucción parcial del activo (expropiación, cierre prolongado por conflicto, o colapso del precio del estaño).</w:t>
      </w:r>
    </w:p>
    <w:p/>
    <w:p>
      <w:r>
        <w:t>Los múltiplos actuales lo confirman:</w:t>
      </w:r>
    </w:p>
    <w:p>
      <w:pPr>
        <w:pStyle w:val="ListBullet"/>
      </w:pPr>
      <w:r>
        <w:t>**EV/EBITDA actual: ~4.0x** (vs. 8-12x para mineras comparables como Minsur o Metals X).</w:t>
      </w:r>
    </w:p>
    <w:p>
      <w:pPr>
        <w:pStyle w:val="ListBullet"/>
      </w:pPr>
      <w:r>
        <w:t>**P/E actual: ~9.2x** (vs. 12-18x para productores de commodities de calidad).</w:t>
      </w:r>
    </w:p>
    <w:p>
      <w:pPr>
        <w:pStyle w:val="ListBullet"/>
      </w:pPr>
      <w:r>
        <w:t>**P/FCF actual: ~5.3x** (extraordinariamente bajo).</w:t>
      </w:r>
    </w:p>
    <w:p/>
    <w:p>
      <w:r>
        <w:t>El mercado está asignando un descuento desproporcionado que solo se justificaría con una probabilidad muy alta de pérdida total del activo.</w:t>
      </w:r>
    </w:p>
    <w:p/>
    <w:p/>
    <w:p/>
    <w:p>
      <w:pPr>
        <w:pStyle w:val="Heading3"/>
      </w:pPr>
      <w:r>
        <w:t>Riesgos principales</w:t>
      </w:r>
    </w:p>
    <w:p/>
    <w:p>
      <w:r>
        <w:t>1. **Riesgo geopolítico y de conflicto (RDC):** Este es EL riesgo dominante. La provincia de Kivu Norte sufre conflicto armado crónico. Aunque Bisie ha operado de forma continua, una escalada podría interrumpir operaciones, cadena logística o incluso resultar en intervención estatal. La noticia de Reuters (marzo 2026) destaca que "el conflicto en Congo es un doble problema para el mercado global del estaño", lo cual paradójicamente puede soportar precios elevados pero amenaza la operación directamente.</w:t>
      </w:r>
    </w:p>
    <w:p/>
    <w:p>
      <w:r>
        <w:t>2. **Concentración en un solo activo:** Toda la producción proviene de Bisie. Cualquier evento adverso (geológico, regulatorio, social) tiene impacto del 100% sobre el negocio. No hay diversificación geográfica ni de commodity.</w:t>
      </w:r>
    </w:p>
    <w:p/>
    <w:p>
      <w:r>
        <w:t>3. **Precio del estaño:** A pesar de la dinámica favorable de oferta/demanda, el estaño es volátil. Un escenario de recesión global que comprima la demanda electrónica podría llevar precios a US$20,000-22,000/t, impactando márgenes severamente (aunque Alphamin seguiría siendo rentable gracias a sus bajos costos).</w:t>
      </w:r>
    </w:p>
    <w:p/>
    <w:p>
      <w:r>
        <w:t>4. **Riesgo regulatorio/fiscal:** La RDC ha modificado su código minero en el pasado (2018) con incrementos de regalías. Nuevas cargas fiscales o cambios en la propiedad estatal del recurso son posibles.</w:t>
      </w:r>
    </w:p>
    <w:p/>
    <w:p/>
    <w:p/>
    <w:p>
      <w:pPr>
        <w:pStyle w:val="Heading3"/>
      </w:pPr>
      <w:r>
        <w:t>Catalizadores</w:t>
      </w:r>
    </w:p>
    <w:p/>
    <w:p>
      <w:r>
        <w:t>**Al alza (12-24 meses):**</w:t>
      </w:r>
    </w:p>
    <w:p>
      <w:pPr>
        <w:pStyle w:val="ListBullet"/>
      </w:pPr>
      <w:r>
        <w:t>**Precio del estaño:** La restricción de oferta (Myanmar, Indonesia, conflicto RDC) con demanda creciente (semiconductores, EVs, IA) podría empujar precios a US$35,000-40,000+/t, expandiendo márgenes a niveles excepcionales.</w:t>
      </w:r>
    </w:p>
    <w:p>
      <w:pPr>
        <w:pStyle w:val="ListBullet"/>
      </w:pPr>
      <w:r>
        <w:t>**Resolución/estabilización del conflicto en RDC:** Cualquier progreso diplomático reduciría significativamente el descuento de riesgo. Un alto al fuego duradero podría catalizar un re-rating de 50-100%.</w:t>
      </w:r>
    </w:p>
    <w:p>
      <w:pPr>
        <w:pStyle w:val="ListBullet"/>
      </w:pPr>
      <w:r>
        <w:t>**Resultados de exploración:** Alphamin tiene potencial de expansión de recursos en Bisie y zonas aledañas. Anuncios de descubrimientos adicionales alargarían la vida útil de la mina.</w:t>
      </w:r>
    </w:p>
    <w:p>
      <w:pPr>
        <w:pStyle w:val="ListBullet"/>
      </w:pPr>
      <w:r>
        <w:t>**IRH como accionista de control:** La entrada de International Resources Holding (Abu Dhabi) aporta capital, conexiones y potencialmente una re-evaluación del riesgo percibido por inversores institucionales.</w:t>
      </w:r>
    </w:p>
    <w:p>
      <w:pPr>
        <w:pStyle w:val="ListBullet"/>
      </w:pPr>
      <w:r>
        <w:t>**Inicio de cobertura de analistas:** Actualmente no hay precio objetivo de consenso (0 analistas cubriendo), lo cual es atípico para una empresa con &gt;US$600M en revenue. El inicio de cobertura por bancos de inversión podría atraer flujos institucionales.</w:t>
      </w:r>
    </w:p>
    <w:p/>
    <w:p>
      <w:r>
        <w:t>**A la baja:**</w:t>
      </w:r>
    </w:p>
    <w:p>
      <w:pPr>
        <w:pStyle w:val="ListBullet"/>
      </w:pPr>
      <w:r>
        <w:t>Escalada militar que interrumpa la mina.</w:t>
      </w:r>
    </w:p>
    <w:p>
      <w:pPr>
        <w:pStyle w:val="ListBullet"/>
      </w:pPr>
      <w:r>
        <w:t>Caída pronunciada del precio del estaño (&lt;US$22,000/t).</w:t>
      </w:r>
    </w:p>
    <w:p>
      <w:pPr>
        <w:pStyle w:val="ListBullet"/>
      </w:pPr>
      <w:r>
        <w:t>Cambio regulatorio adverso en RDC.</w:t>
      </w:r>
    </w:p>
    <w:p/>
    <w:p/>
    <w:p/>
    <w:p>
      <w:pPr>
        <w:pStyle w:val="Heading3"/>
      </w:pPr>
      <w:r>
        <w:t>Conclusión y plan de acción</w:t>
      </w:r>
    </w:p>
    <w:p/>
    <w:p>
      <w:r>
        <w:t>**Recomendación: COMPRA FUERTE**</w:t>
      </w:r>
    </w:p>
    <w:p/>
    <w:p>
      <w:r>
        <w:t>Alphamin Resources es un caso textbook de value investing en materias primas: un activo de clase mundial (la mina de estaño de mayor ley del planeta) que genera flujos de caja excepcionales, con un balance limpio, operado por un equipo que ha demostrado ejecución exitosa en un entorno hostil, ahora respaldado por capital soberano de Abu Dhabi, y cotizando a **4x EBITDA y 5x FCF** debido al riesgo geopolítico.</w:t>
      </w:r>
    </w:p>
    <w:p/>
    <w:p>
      <w:r>
        <w:t>El margen de seguridad es enorme. Incluso el escenario pesimista arroja un valor 74% superior al precio actual. El escenario base sugiere que la acción debería cotizar más de 3 veces su precio actual.</w:t>
      </w:r>
    </w:p>
    <w:p/>
    <w:p>
      <w:r>
        <w:t>**Plan de acción:**</w:t>
      </w:r>
    </w:p>
    <w:p/>
    <w:p>
      <w:r>
        <w:t>| Acción | Precio |</w:t>
      </w:r>
    </w:p>
    <w:p>
      <w:r>
        <w:t>|---|---|</w:t>
      </w:r>
    </w:p>
    <w:p>
      <w:r>
        <w:t>| **Comprar posición inicial (3-4% del portfolio)** | C$ 0,90 - C$ 1,10 |</w:t>
      </w:r>
    </w:p>
    <w:p>
      <w:r>
        <w:t>| **Añadir si cae** | C$ 0,70 - C$ 0,85 |</w:t>
      </w:r>
    </w:p>
    <w:p>
      <w:r>
        <w:t>| **Mantener** | C$ 1,10 - C$ 2,50 |</w:t>
      </w:r>
    </w:p>
    <w:p>
      <w:r>
        <w:t>| **Comenzar a reducir** | C$ 3,00 - C$ 3,50 |</w:t>
      </w:r>
    </w:p>
    <w:p>
      <w:r>
        <w:t>| **Vender posición completa** | C$ 4,50+ |</w:t>
      </w:r>
    </w:p>
    <w:p/>
    <w:p>
      <w:r>
        <w:t>**Posición sizing:** Dado el riesgo binario de RDC, limitar la posición a un máximo de 4-5% del portfolio total. Esto es una oportunidad asimétrica (upside 3:1 vs downside) pero NO libre de riesgo; un evento catastrófico podría significar pérdida parcial significativa. La disciplina en el tamaño de la posición es fundamental.</w:t>
      </w:r>
    </w:p>
    <w:p/>
    <w:p>
      <w:r>
        <w:t>**Monitoreo prioritario:** situación de seguridad en Kivu Norte, precio del estaño (LME), y anuncios corporativos de producción/exploración.</w:t>
      </w:r>
    </w:p>
    <w:p/>
    <w:p/>
    <w:p/>
    <w:p>
      <w:r>
        <w:t>*Análisis generado el 20/03/2026. No es consejo de inversión. El autor puede mantener posiciones en los valores mencionados. Los datos financieros están expresados en dólares estadounidenses salvo el precio de cotización (dólares canadienses). La inversión en empresas mineras con operaciones en zonas de conflicto conlleva riesgos extraordinarios que deben ser evaluados individualmente.*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