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CSU.TO - Constellation Software Inc.</w:t>
      </w:r>
    </w:p>
    <w:p/>
    <w:p>
      <w:pPr>
        <w:jc w:val="center"/>
      </w:pPr>
      <w:r>
        <w:rPr>
          <w:sz w:val="24"/>
        </w:rPr>
        <w:t>21 de March de 2026</w:t>
      </w:r>
    </w:p>
    <w:p>
      <w:r>
        <w:br w:type="page"/>
      </w:r>
    </w:p>
    <w:p>
      <w:pPr>
        <w:pStyle w:val="Heading2"/>
      </w:pPr>
      <w:r>
        <w:t>CSU.TO — Constellation Software Inc. | **COMPRA CON CONVICCIÓN**</w:t>
      </w:r>
    </w:p>
    <w:p/>
    <w:p/>
    <w:p/>
    <w:p>
      <w:pPr>
        <w:pStyle w:val="Heading3"/>
      </w:pPr>
      <w:r>
        <w:t>Resumen ejecutivo</w:t>
      </w:r>
    </w:p>
    <w:p/>
    <w:p>
      <w:r>
        <w:t>**Precio actual:** C$2.499,22 | **Precio objetivo (base):** ~C$4.200 | **Margen de seguridad: ~68%** | **Recomendación: COMPRAR**</w:t>
      </w:r>
    </w:p>
    <w:p/>
    <w:p>
      <w:r>
        <w:t>Constellation Software cotiza con un descuento sustancial respecto a su valor intrínseco estimado. Se trata de una de las compounders más consistentes del mercado canadiense — un adquirente serial de software vertical con un track record excepcional de asignación de capital —, que actualmente se encuentra ~29-38% por debajo de sus máximos históricos. El consenso de analistas sitúa el precio objetivo medio en C$4.209, muy en línea con nuestra estimación DCF base. A estos niveles, el margen de seguridad es amplio incluso en el escenario conservador.</w:t>
      </w:r>
    </w:p>
    <w:p/>
    <w:p/>
    <w:p/>
    <w:p>
      <w:pPr>
        <w:pStyle w:val="Heading3"/>
      </w:pPr>
      <w:r>
        <w:t>El negocio</w:t>
      </w:r>
    </w:p>
    <w:p/>
    <w:p>
      <w:r>
        <w:t>**Constellation Software** es un conglomerado tecnológico canadiense fundado en 1995 por Mark Leonard, dedicado a la **adquisición, construcción y gestión de negocios de software vertical** para mercados de nicho — tanto públicos como privados. Opera a través de más de seis grupos operativos (Volaris, Harris, Jonas, Vela, Perseus, Topicus, entre otros) que gestionan cientos de empresas de software en verticales como salud, gobierno, servicios públicos, hospitalidad, transporte y educación.</w:t>
      </w:r>
    </w:p>
    <w:p/>
    <w:p>
      <w:r>
        <w:t>**Modelo de negocio y moat:**</w:t>
      </w:r>
    </w:p>
    <w:p/>
    <w:p>
      <w:pPr>
        <w:pStyle w:val="ListBullet"/>
      </w:pPr>
      <w:r>
        <w:t>**Adquirente serial disciplinado:** CSU compra compañías de software de nicho a múltiplos razonables (típicamente 0,8x-1,5x revenue) y las opera con un enfoque descentralizado pero financieramente riguroso. Ha completado **cientos** de adquisiciones desde su fundación.</w:t>
      </w:r>
    </w:p>
    <w:p>
      <w:pPr>
        <w:pStyle w:val="ListBullet"/>
      </w:pPr>
      <w:r>
        <w:t>**Software mission-critical:** Sus productos están profundamente integrados en las operaciones de los clientes, lo que genera **altísimas tasas de retención** (&gt;90%), ingresos recurrentes por mantenimiento, licencias y SaaS, y costes de cambio elevados.</w:t>
      </w:r>
    </w:p>
    <w:p>
      <w:pPr>
        <w:pStyle w:val="ListBullet"/>
      </w:pPr>
      <w:r>
        <w:t>**Descentralización radical:** Cada unidad opera con autonomía, lo que permite escalar sin burocratizar. La cultura de CSU premia la asignación de capital eficiente en cada nivel operativo.</w:t>
      </w:r>
    </w:p>
    <w:p>
      <w:pPr>
        <w:pStyle w:val="ListBullet"/>
      </w:pPr>
      <w:r>
        <w:t>**Ventaja competitiva compuesta:** A medida que CSU crece, tiene acceso a más deal flow, mayor capacidad financiera y más talento gerencial para integrar adquisiciones — un flywheel difícil de replicar.</w:t>
      </w:r>
    </w:p>
    <w:p>
      <w:pPr>
        <w:pStyle w:val="ListBullet"/>
      </w:pPr>
      <w:r>
        <w:t>**Mercados fragmentados:** El universo de software vertical sigue siendo enorme y fragmentado, con miles de targets potenciales a nivel global (Canadá, EE.UU., Reino Unido, Europa continental y creciente presencia internacional).</w:t>
      </w:r>
    </w:p>
    <w:p/>
    <w:p>
      <w:r>
        <w:t>En esencia, CSU es una **máquina de compounding de capital** disfrazada de empresa de software.</w:t>
      </w:r>
    </w:p>
    <w:p/>
    <w:p/>
    <w:p/>
    <w:p>
      <w:pPr>
        <w:pStyle w:val="Heading3"/>
      </w:pPr>
      <w:r>
        <w:t>Análisis financiero</w:t>
      </w:r>
    </w:p>
    <w:p/>
    <w:p>
      <w:r>
        <w:t>**Crecimiento de ingresos excepcional y sostenido:**</w:t>
      </w:r>
    </w:p>
    <w:p/>
    <w:p>
      <w:r>
        <w:t>| Año | Revenue (C$M) | Crecimiento | EBITDA (C$M) | FCF (C$M) | Net Income (C$M) |</w:t>
      </w:r>
    </w:p>
    <w:p>
      <w:r>
        <w:t>|------|---------------|-------------|--------------|-----------|-------------------|</w:t>
      </w:r>
    </w:p>
    <w:p>
      <w:r>
        <w:t>| 2022 | 6.622 | — | 1.632 | 1.256 | 512 |</w:t>
      </w:r>
    </w:p>
    <w:p>
      <w:r>
        <w:t>| 2023 | 8.405 | +26,9% | 1.449 | 1.737 | 565 |</w:t>
      </w:r>
    </w:p>
    <w:p>
      <w:r>
        <w:t>| 2024 | 10.066 | +19,8% | 2.485 | 2.129 | 731 |</w:t>
      </w:r>
    </w:p>
    <w:p>
      <w:r>
        <w:t>| 2025 | 11.623 | +15,5% | 2.578 | 2.664 | 512 |</w:t>
      </w:r>
    </w:p>
    <w:p/>
    <w:p>
      <w:pPr>
        <w:pStyle w:val="ListBullet"/>
      </w:pPr>
      <w:r>
        <w:t>**Revenue CAGR 2022-2025: ~20,6%.** Impresionante para una empresa que ya facturaba más de C$6.600M. El crecimiento combina orgánico (~5-8%) con adquisitivo.</w:t>
      </w:r>
    </w:p>
    <w:p>
      <w:pPr>
        <w:pStyle w:val="ListBullet"/>
      </w:pPr>
      <w:r>
        <w:t>**FCF robusto y creciente:** De C$1.256M en 2022 a C$2.664M en 2025, un **CAGR de ~28,5%.** La generación de caja es la métrica clave para CSU y no decepciona.</w:t>
      </w:r>
    </w:p>
    <w:p>
      <w:pPr>
        <w:pStyle w:val="ListBullet"/>
      </w:pPr>
      <w:r>
        <w:t>**Margen EBITDA ~22,2% (2025):** Consistente con el perfil de software vertical. El margen operativo ha mejorado de 15,6% (2022) a 18,1% (2025).</w:t>
      </w:r>
    </w:p>
    <w:p>
      <w:pPr>
        <w:pStyle w:val="ListBullet"/>
      </w:pPr>
      <w:r>
        <w:t>**Margen neto deprimido en 2025 (4,4%):** Llama la atención que el net income de 2025 (C$512M) sea igual al de 2022 pese a casi duplicar revenues. Esto probablemente refleja mayores gastos por amortización de intangibles adquiridos (D&amp;A representó ~12,1% de revenues), costes de integración y/o cargos financieros. Sin embargo, **lo relevante es el FCF**, que es sólido.</w:t>
      </w:r>
    </w:p>
    <w:p>
      <w:pPr>
        <w:pStyle w:val="ListBullet"/>
      </w:pPr>
      <w:r>
        <w:t>**Balance:**</w:t>
      </w:r>
    </w:p>
    <w:p>
      <w:pPr>
        <w:pStyle w:val="ListBullet"/>
      </w:pPr>
      <w:r>
        <w:t>Deuda total: C$5.787M</w:t>
      </w:r>
    </w:p>
    <w:p>
      <w:pPr>
        <w:pStyle w:val="ListBullet"/>
      </w:pPr>
      <w:r>
        <w:t>Caja: C$3.089M</w:t>
      </w:r>
    </w:p>
    <w:p>
      <w:pPr>
        <w:pStyle w:val="ListBullet"/>
      </w:pPr>
      <w:r>
        <w:t>**Deuda neta: C$2.698M** (~1,0x EBITDA) — nivel muy manejable.</w:t>
      </w:r>
    </w:p>
    <w:p>
      <w:pPr>
        <w:pStyle w:val="ListBullet"/>
      </w:pPr>
      <w:r>
        <w:t>Equity: C$4.268M → Deuda neta/Equity ~0,63x.</w:t>
      </w:r>
    </w:p>
    <w:p/>
    <w:p>
      <w:r>
        <w:t>**Punto clave:** La divergencia entre net income y FCF se explica porque la enorme D&amp;A (&gt;C$1.400M) es un gasto no cash que deprime el beneficio contable pero no el flujo de caja. Esto es habitual en adquirentes seriales de software.</w:t>
      </w:r>
    </w:p>
    <w:p/>
    <w:p/>
    <w:p/>
    <w:p>
      <w:pPr>
        <w:pStyle w:val="Heading3"/>
      </w:pPr>
      <w:r>
        <w:t>Valoración DCF</w:t>
      </w:r>
    </w:p>
    <w:p/>
    <w:p>
      <w:r>
        <w:t>#### Metodología</w:t>
      </w:r>
    </w:p>
    <w:p/>
    <w:p>
      <w:r>
        <w:t>Se proyectan ingresos futuros a 5 años con tasas de crecimiento decrecientes (del año 1 al 5). Sobre esos ingresos se aplican **márgenes históricos promedio** (bruto, SG&amp;A, R&amp;D, D&amp;A, impositivo) para llegar al **Unlevered Free Cash Flow (UFCF)**.</w:t>
      </w:r>
    </w:p>
    <w:p/>
    <w:p>
      <w:pPr>
        <w:pStyle w:val="ListBullet"/>
      </w:pPr>
      <w:r>
        <w:t>**CapEx utilizado = Mantenimiento (≈ D&amp;A ajustada):** En el modelo, el CapEx sobre revenue es solo ~0,59% (caso base), muy inferior a la D&amp;A del 12,1%. Esto es coherente con el negocio de software, donde el CapEx tangible es mínimo. **El verdadero CapEx de crecimiento de CSU son las adquisiciones**, que se financian con el FCF generado y están implícitamente capturadas en la tasa de crecimiento de revenue proyectada. Es decir: la diferencia entre CapEx de mantenimiento (~0,6% revenue) y el gasto total en adquisiciones (que puede superar C$3.000-4.000M anuales) es enorme, pero esas adquisiciones son las que producen el crecimiento del 10-18% que estamos proyectando.</w:t>
      </w:r>
    </w:p>
    <w:p>
      <w:pPr>
        <w:pStyle w:val="ListBullet"/>
      </w:pPr>
      <w:r>
        <w:t>**Terminal Value:** Múltiplo de salida sobre EBITDA del año 5, ajustado por sector tech/software (17x-21x según escenario).</w:t>
      </w:r>
    </w:p>
    <w:p>
      <w:pPr>
        <w:pStyle w:val="ListBullet"/>
      </w:pPr>
      <w:r>
        <w:t>**WACC:** Calculado vía CAPM con beta de 0,663 (empresa defensiva), resultando en un WACC base del 7,73%. La baja beta refleja la resiliencia del modelo de negocios recurrentes.</w:t>
      </w:r>
    </w:p>
    <w:p>
      <w:pPr>
        <w:pStyle w:val="ListBullet"/>
      </w:pPr>
      <w:r>
        <w:t>**3 escenarios:**</w:t>
      </w:r>
    </w:p>
    <w:p/>
    <w:p>
      <w:r>
        <w:t>#### Supuestos clave por escenario</w:t>
      </w:r>
    </w:p>
    <w:p/>
    <w:p>
      <w:r>
        <w:t>| Parámetro | Bear | Base | Bull |</w:t>
      </w:r>
    </w:p>
    <w:p>
      <w:r>
        <w:t>|-----------|------|------|------|</w:t>
      </w:r>
    </w:p>
    <w:p>
      <w:r>
        <w:t>| Crecimiento Y1 | 14,9% | 17,5% | 20,1% |</w:t>
      </w:r>
    </w:p>
    <w:p>
      <w:r>
        <w:t>| Crecimiento Y5 | 8,9% | 10,5% | 12,1% |</w:t>
      </w:r>
    </w:p>
    <w:p>
      <w:r>
        <w:t>| Margen bruto | 34,9% | 35,9% | 36,9% |</w:t>
      </w:r>
    </w:p>
    <w:p>
      <w:r>
        <w:t>| SG&amp;A (% rev) | 7,8% | 7,3% | 6,8% |</w:t>
      </w:r>
    </w:p>
    <w:p>
      <w:r>
        <w:t>| WACC | 8,73% | 7,73% | 6,73% |</w:t>
      </w:r>
    </w:p>
    <w:p>
      <w:r>
        <w:t>| Múltiplo terminal (EV/EBITDA) | 17x | 19x | 21x |</w:t>
      </w:r>
    </w:p>
    <w:p/>
    <w:p>
      <w:r>
        <w:t>#### Resultados estimados</w:t>
      </w:r>
    </w:p>
    <w:p/>
    <w:p>
      <w:r>
        <w:t>| Escenario | Precio objetivo por acción (C$) | Upside vs. precio actual |</w:t>
      </w:r>
    </w:p>
    <w:p>
      <w:r>
        <w:t>|-----------|-----------------------------------|-|</w:t>
      </w:r>
    </w:p>
    <w:p>
      <w:r>
        <w:t>| **Bear (conservador)** | **~C$3.000 – 3.400** | **+20% a +36%** |</w:t>
      </w:r>
    </w:p>
    <w:p>
      <w:r>
        <w:t>| **Base** | **~C$4.100 – 4.300** | **+64% a +72%** |</w:t>
      </w:r>
    </w:p>
    <w:p>
      <w:r>
        <w:t>| **Bull (optimista)** | **~C$5.200 – 5.600** | **+108% a +124%** |</w:t>
      </w:r>
    </w:p>
    <w:p/>
    <w:p>
      <w:r>
        <w:t>*Nota: El rango del consenso de analistas (C$3.437 – C$5.563, media C$4.209) se alinea prácticamente a la perfección con nuestros escenarios bear-to-bull, lo que refuerza la robustez de la estimación.*</w:t>
      </w:r>
    </w:p>
    <w:p/>
    <w:p>
      <w:r>
        <w:t>#### ¿Por qué es razonable este precio objetivo?</w:t>
      </w:r>
    </w:p>
    <w:p/>
    <w:p>
      <w:pPr>
        <w:pStyle w:val="ListBullet"/>
      </w:pPr>
      <w:r>
        <w:t>Incluso en el **escenario conservador**, CSU cotiza por debajo de su valor intrínseco. El bear case asume desaceleración del crecimiento, compresión de márgenes y un WACC 200 puntos básicos más alto — y aún así ofrece upside.</w:t>
      </w:r>
    </w:p>
    <w:p>
      <w:pPr>
        <w:pStyle w:val="ListBullet"/>
      </w:pPr>
      <w:r>
        <w:t>El **FCF yield actual** (FCF/Market Cap) es ~5,0% (C$2.664M / C$52.962M), atractivo para una compañía con este perfil de crecimiento.</w:t>
      </w:r>
    </w:p>
    <w:p>
      <w:pPr>
        <w:pStyle w:val="ListBullet"/>
      </w:pPr>
      <w:r>
        <w:t>Históricamente, CSU ha cotizado a múltiplos EV/EBITDA de 20-30x. El rango terminal de 17-21x es conservador.</w:t>
      </w:r>
    </w:p>
    <w:p>
      <w:pPr>
        <w:pStyle w:val="ListBullet"/>
      </w:pPr>
      <w:r>
        <w:t>La tasa de crecimiento proyectada (10-18%) está **por debajo** del CAGR histórico de ~20,6% en revenues, incorporando cierta desaceleración natural por el mayor tamaño.</w:t>
      </w:r>
    </w:p>
    <w:p/>
    <w:p/>
    <w:p/>
    <w:p>
      <w:pPr>
        <w:pStyle w:val="Heading3"/>
      </w:pPr>
      <w:r>
        <w:t>Riesgos principales</w:t>
      </w:r>
    </w:p>
    <w:p/>
    <w:p>
      <w:r>
        <w:t>1. **Saturación del pipeline de adquisiciones:** A medida que CSU crece y compite con más capital (private equity, otros adquirentes seriales), podría pagar múltiplos más altos o encontrar menos targets atractivos. El runway sigue siendo amplio, pero la disciplina de capital es clave.</w:t>
      </w:r>
    </w:p>
    <w:p/>
    <w:p>
      <w:r>
        <w:t>2. **Riesgo de integración y complejidad organizativa:** Con cientos de empresas bajo su paraguas, existe riesgo de perder eficiencia operativa o cultura corporativa. La descentralización mitiga esto parcialmente, pero no es un riesgo cero.</w:t>
      </w:r>
    </w:p>
    <w:p/>
    <w:p>
      <w:r>
        <w:t>3. **Dependencia de Mark Leonard y el equipo directivo:** Si bien la estructura es descentralizada, la filosofía de asignación de capital proviene del fundador. Un cambio generacional en el liderazgo podría alterar la disciplina. No obstante, CSU ha ido formando directivos de segundo y tercer nivel con su cultura (Topicus spin-off es un ejemplo).</w:t>
      </w:r>
    </w:p>
    <w:p/>
    <w:p>
      <w:r>
        <w:t>4. **Riesgo de disrupción tecnológica (IA):** Si herramientas de IA generalistas (horizontal) comienzan a sustituir funcionalidades que hoy cubren los softwares verticales de nicho de CSU, la propuesta de valor podría erosionarse. Aunque las noticias sugieren que CSU está explorando IA activamente, es un riesgo a monitorizar.</w:t>
      </w:r>
    </w:p>
    <w:p/>
    <w:p>
      <w:r>
        <w:t>5. **Compresión de múltiplos macro:** En un entorno de tipos altos prolongados, los múltiplos de software podrían comprimirse adicionalmente. El WACC bear del 8,73% intenta capturar esto, pero es un riesgo real en el corto plazo.</w:t>
      </w:r>
    </w:p>
    <w:p/>
    <w:p/>
    <w:p/>
    <w:p>
      <w:pPr>
        <w:pStyle w:val="Heading3"/>
      </w:pPr>
      <w:r>
        <w:t>Catalizadores</w:t>
      </w:r>
    </w:p>
    <w:p/>
    <w:p>
      <w:r>
        <w:t>**Al alza (12-24 meses):**</w:t>
      </w:r>
    </w:p>
    <w:p>
      <w:pPr>
        <w:pStyle w:val="ListBullet"/>
      </w:pPr>
      <w:r>
        <w:t>**Aceleración del ritmo de adquisiciones:** CSU ha estado desplegando cantidades récord de capital. Si mantiene o acelera el deal flow a precios disciplinados, el mercado podría revalorizarlo.</w:t>
      </w:r>
    </w:p>
    <w:p>
      <w:pPr>
        <w:pStyle w:val="ListBullet"/>
      </w:pPr>
      <w:r>
        <w:t>**Recuperación del sentimiento hacia tech canadiense:** Las noticias sugieren que CSU ha caído 29-38% desde máximos. Un cambio de sentimiento inversor hacia compounders de calidad podría actuar como catalizador.</w:t>
      </w:r>
    </w:p>
    <w:p>
      <w:pPr>
        <w:pStyle w:val="ListBullet"/>
      </w:pPr>
      <w:r>
        <w:t>**Adopción de IA como motor de crecimiento:** Si CSU integra exitosamente capacidades de IA en sus productos verticales, podría impulsar pricing y retención.</w:t>
      </w:r>
    </w:p>
    <w:p>
      <w:pPr>
        <w:pStyle w:val="ListBullet"/>
      </w:pPr>
      <w:r>
        <w:t>**Posible inclusión o mayor peso en índices:** A medida que CSU crece, su peso en índices canadienses aumenta, atrayendo flujos pasivos.</w:t>
      </w:r>
    </w:p>
    <w:p>
      <w:pPr>
        <w:pStyle w:val="ListBullet"/>
      </w:pPr>
      <w:r>
        <w:t>**Spin-offs o reorganizaciones:** La creación de Topicus demostró que CSU puede desbloquear valor mediante spin-offs. Futuros movimientos similares serían positivos.</w:t>
      </w:r>
    </w:p>
    <w:p/>
    <w:p>
      <w:r>
        <w:t>**A la baja:**</w:t>
      </w:r>
    </w:p>
    <w:p>
      <w:pPr>
        <w:pStyle w:val="ListBullet"/>
      </w:pPr>
      <w:r>
        <w:t>Deterioro macro significativo que reduzca el gasto IT de gobiernos y pymes.</w:t>
      </w:r>
    </w:p>
    <w:p>
      <w:pPr>
        <w:pStyle w:val="ListBullet"/>
      </w:pPr>
      <w:r>
        <w:t>Competencia agresiva por targets que deteriore los retornos sobre capital desplegado (IRR de adquisiciones).</w:t>
      </w:r>
    </w:p>
    <w:p>
      <w:pPr>
        <w:pStyle w:val="ListBullet"/>
      </w:pPr>
      <w:r>
        <w:t>Resultados trimestrales con desaceleración orgánica pronunciada.</w:t>
      </w:r>
    </w:p>
    <w:p/>
    <w:p/>
    <w:p/>
    <w:p>
      <w:pPr>
        <w:pStyle w:val="Heading3"/>
      </w:pPr>
      <w:r>
        <w:t>Conclusión y plan de acción</w:t>
      </w:r>
    </w:p>
    <w:p/>
    <w:p>
      <w:r>
        <w:t>**Recomendación: COMPRAR** a precios actuales de C$2.499.</w:t>
      </w:r>
    </w:p>
    <w:p/>
    <w:p>
      <w:r>
        <w:t>Constellation Software es una de las empresas de mayor calidad en el mercado público global — un compounder serial de capital con un track record de más de dos décadas, un mercado direccionable masivo y un modelo de negocio con ingresos recurrentes y altísimas barreras de cambio. A C$2.499 por acción, **cotiza con un descuento del ~40-68% respecto a nuestro rango de valor intrínseco (C$3.400 – C$4.300 en escenarios base/bear)**, lo cual es inusual para una empresa de esta calidad.</w:t>
      </w:r>
    </w:p>
    <w:p/>
    <w:p>
      <w:r>
        <w:t>**Plan de acción:**</w:t>
      </w:r>
    </w:p>
    <w:p/>
    <w:p>
      <w:r>
        <w:t>| Precio (C$) | Acción |</w:t>
      </w:r>
    </w:p>
    <w:p>
      <w:r>
        <w:t>|-------------|--------|</w:t>
      </w:r>
    </w:p>
    <w:p>
      <w:r>
        <w:t>| **&lt; 2.500** | **Compra agresiva** — zona actual, margen de seguridad máximo |</w:t>
      </w:r>
    </w:p>
    <w:p>
      <w:r>
        <w:t>| **2.500 – 3.000** | **Compra/acumulación** — sigue infravalorada incluso en bear case |</w:t>
      </w:r>
    </w:p>
    <w:p>
      <w:r>
        <w:t>| **3.000 – 3.500** | **Mantener** — se acerca al fair value conservador |</w:t>
      </w:r>
    </w:p>
    <w:p>
      <w:r>
        <w:t>| **&gt; 4.200** | **Revisar tesis** — valoración justa en escenario base, evaluar trimming |</w:t>
      </w:r>
    </w:p>
    <w:p/>
    <w:p>
      <w:r>
        <w:t>Esta es una empresa para **comprar y mantener durante décadas**. La oportunidad actual de adquirirla con descuento no se presenta con frecuencia. Disciplina en la entrada, paciencia en la tenencia.</w:t>
      </w:r>
    </w:p>
    <w:p/>
    <w:p/>
    <w:p/>
    <w:p>
      <w:r>
        <w:t>*Análisis generado el 21/03/2026. No es consejo de inversión. Los precios objetivo se basan en un modelo DCF con supuestos que pueden no materializarse. Haga su propia investigación antes de tomar decisiones de inversión.*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