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NKE - NIKE, Inc.</w:t>
      </w:r>
    </w:p>
    <w:p/>
    <w:p>
      <w:pPr>
        <w:jc w:val="center"/>
      </w:pPr>
      <w:r>
        <w:rPr>
          <w:sz w:val="24"/>
        </w:rPr>
        <w:t>21 de March de 2026</w:t>
      </w:r>
    </w:p>
    <w:p>
      <w:r>
        <w:br w:type="page"/>
      </w:r>
    </w:p>
    <w:p/>
    <w:p/>
    <w:p>
      <w:pPr>
        <w:pStyle w:val="Heading2"/>
      </w:pPr>
      <w:r>
        <w:t>NKE — NIKE, Inc. | Infravalorada — Potencial de turnaround</w:t>
      </w:r>
    </w:p>
    <w:p/>
    <w:p/>
    <w:p/>
    <w:p>
      <w:pPr>
        <w:pStyle w:val="Heading3"/>
      </w:pPr>
      <w:r>
        <w:t>Resumen ejecutivo</w:t>
      </w:r>
    </w:p>
    <w:p/>
    <w:p>
      <w:r>
        <w:t>**Precio actual:** $52,37 | **Precio objetivo (base):** ~$68 | **Margen de seguridad estimado:** ~30%</w:t>
      </w:r>
    </w:p>
    <w:p/>
    <w:p>
      <w:r>
        <w:t>Nike cotiza en mínimos de varios años tras una caída severa de ingresos y márgenes en el ejercicio fiscal 2025. Nuestro modelo DCF sugiere que el mercado está descontando un deterioro permanente que no se corresponde con la fortaleza de la marca, la historia financiera de la compañía ni las señales iniciales de un turnaround operativo. **Recomendación: comprar en zona de $50–55, acumulando si cae hacia $45.**</w:t>
      </w:r>
    </w:p>
    <w:p/>
    <w:p/>
    <w:p/>
    <w:p>
      <w:pPr>
        <w:pStyle w:val="Heading3"/>
      </w:pPr>
      <w:r>
        <w:t>El negocio</w:t>
      </w:r>
    </w:p>
    <w:p/>
    <w:p>
      <w:r>
        <w:t>Nike es la mayor empresa de calzado y ropa deportiva del mundo, con una posición de marca prácticamente inigualable. Opera a través de sus marcas **NIKE, Jordan y Converse** en más de 190 países, combinando un modelo de distribución mayorista con un canal directo al consumidor (NIKE Direct) que incluye tiendas propias y plataformas digitales.</w:t>
      </w:r>
    </w:p>
    <w:p/>
    <w:p>
      <w:r>
        <w:t>**Moat / Ventaja competitiva:**</w:t>
      </w:r>
    </w:p>
    <w:p/>
    <w:p>
      <w:pPr>
        <w:pStyle w:val="ListBullet"/>
      </w:pPr>
      <w:r>
        <w:t>**Marca global de primer orden.** Nike es consistentemente la marca deportiva más valiosa del mundo, con un reconocimiento y aspiracionalidad que trasciende el deporte (cultura urbana, moda, lifestyle).</w:t>
      </w:r>
    </w:p>
    <w:p>
      <w:pPr>
        <w:pStyle w:val="ListBullet"/>
      </w:pPr>
      <w:r>
        <w:t>**Escala y poder de negociación.** Su red de proveedores, contratos con atletas de élite (LeBron, Mbappé, equipos NBA/NFL) y capacidad de inversión en marketing superan ampliamente a cualquier competidor.</w:t>
      </w:r>
    </w:p>
    <w:p>
      <w:pPr>
        <w:pStyle w:val="ListBullet"/>
      </w:pPr>
      <w:r>
        <w:t>**Ecosistema digital.** Apps como NIKE Run Club, SNKRS y NIKE App generan datos de consumidor y fidelización difíciles de replicar.</w:t>
      </w:r>
    </w:p>
    <w:p>
      <w:pPr>
        <w:pStyle w:val="ListBullet"/>
      </w:pPr>
      <w:r>
        <w:t>**Diversificación geográfica.** Norteamérica, EMEA, Greater China y Asia-Pacífico, con exposición equilibrada a mercados desarrollados y emergentes.</w:t>
      </w:r>
    </w:p>
    <w:p/>
    <w:p>
      <w:r>
        <w:t>El riesgo competitivo ha aumentado con la irrupción de marcas como **On Running, Hoka y New Balance**, que han capturado cuota en segmentos clave (running, lifestyle). Sin embargo, la escala de Nike y su capacidad de innovación de producto siguen siendo formidables.</w:t>
      </w:r>
    </w:p>
    <w:p/>
    <w:p/>
    <w:p/>
    <w:p>
      <w:pPr>
        <w:pStyle w:val="Heading3"/>
      </w:pPr>
      <w:r>
        <w:t>Análisis financiero</w:t>
      </w:r>
    </w:p>
    <w:p/>
    <w:p>
      <w:r>
        <w:t>| Métrica | FY2022 | FY2023 | FY2024 | FY2025 (últimos datos) |</w:t>
      </w:r>
    </w:p>
    <w:p>
      <w:r>
        <w:t>|---|---|---|---|---|</w:t>
      </w:r>
    </w:p>
    <w:p>
      <w:r>
        <w:t>| **Revenue ($B)** | 46,7 | 51,2 | 51,4 | 46,3 |</w:t>
      </w:r>
    </w:p>
    <w:p>
      <w:r>
        <w:t>| **Margen bruto** | ~45% | ~44% | ~45% | **42,7%** |</w:t>
      </w:r>
    </w:p>
    <w:p>
      <w:r>
        <w:t>| **Ingreso operativo ($B)** | 6,7 | 5,9 | 6,3 | **3,7** |</w:t>
      </w:r>
    </w:p>
    <w:p>
      <w:r>
        <w:t>| **Margen operativo** | 14,3% | 11,5% | 12,3% | **8,0%** |</w:t>
      </w:r>
    </w:p>
    <w:p>
      <w:r>
        <w:t>| **Beneficio neto ($B)** | 6,0 | 5,1 | 5,7 | **3,2** |</w:t>
      </w:r>
    </w:p>
    <w:p>
      <w:r>
        <w:t>| **FCF ($B)** | 4,4 | 4,9 | 6,6 | **3,3** |</w:t>
      </w:r>
    </w:p>
    <w:p>
      <w:r>
        <w:t>| **EBITDA ($B)** | 7,5 | 6,8 | 7,2 | **4,5** |</w:t>
      </w:r>
    </w:p>
    <w:p/>
    <w:p>
      <w:r>
        <w:t>**Lectura clave:**</w:t>
      </w:r>
    </w:p>
    <w:p/>
    <w:p>
      <w:r>
        <w:t>1. **Revenue en retroceso.** Tras alcanzar un pico de $51,4B en FY2024, los ingresos cayeron un **9,8%** hasta $46,3B en FY2025, volviendo a niveles de FY2022. Las causas: debilidad en China, competencia creciente, exceso de inventario que forzó promociones, y una transición DTC que generó fricción con el canal mayorista.</w:t>
      </w:r>
    </w:p>
    <w:p/>
    <w:p>
      <w:r>
        <w:t>2. **Compresión severa de márgenes.** El margen bruto bajó ~230 puntos básicos respecto a FY2024 (42,7% vs. ~45%). El margen operativo se desplomó del 12,3% al 8,0%, reflejando el efecto combinado de menores ventas, mayor actividad promocional y costes de reestructuración.</w:t>
      </w:r>
    </w:p>
    <w:p/>
    <w:p>
      <w:r>
        <w:t>3. **FCF resiliente pero deteriorado.** El flujo de caja libre cayó un 50% interanual ($3,3B vs. $6,6B), aunque sigue siendo positivo y suficiente para cubrir dividendos y recompras a un ritmo moderado.</w:t>
      </w:r>
    </w:p>
    <w:p/>
    <w:p>
      <w:r>
        <w:t>4. **Balance sólido.** Deuda total de $11,0B contra caja de $7,5B, lo que arroja una **deuda neta de solo $3,6B** — apenas 0,8x EBITDA. Nike tiene amplia capacidad financiera para financiar su turnaround sin estrés de balance.</w:t>
      </w:r>
    </w:p>
    <w:p/>
    <w:p>
      <w:r>
        <w:t>5. **Equity de $13,2B** y capitalización de mercado actual de $77,5B implican un **P/B de ~5,9x**, históricamente bajo para Nike.</w:t>
      </w:r>
    </w:p>
    <w:p/>
    <w:p>
      <w:r>
        <w:t>En resumen: FY2025 ha sido el peor año de Nike en la última década, pero el balance permanece fuerte y la caída tiene más carácter cíclico/operativo que estructural.</w:t>
      </w:r>
    </w:p>
    <w:p/>
    <w:p/>
    <w:p/>
    <w:p>
      <w:pPr>
        <w:pStyle w:val="Heading3"/>
      </w:pPr>
      <w:r>
        <w:t>Valoración DCF</w:t>
      </w:r>
    </w:p>
    <w:p/>
    <w:p>
      <w:r>
        <w:t>#### Metodología</w:t>
      </w:r>
    </w:p>
    <w:p/>
    <w:p>
      <w:r>
        <w:t>Nuestro modelo DCF proyecta ingresos a 5 años y aplica los **márgenes históricos promedio** (bruto, SGA, I+D, D&amp;A, impuestos) para estimar el Flujo de Caja Libre No Apalancado (UFCF). Aspectos clave:</w:t>
      </w:r>
    </w:p>
    <w:p/>
    <w:p>
      <w:pPr>
        <w:pStyle w:val="ListBullet"/>
      </w:pPr>
      <w:r>
        <w:t>**CapEx de mantenimiento (≈ Depreciación):** El modelo resta solo el CapEx necesario para mantener la operación actual (~1,5% de revenue), que es aproximadamente la depreciación y amortización (~1,7%). La diferencia entre el CapEx total real de Nike y el de mantenimiento es modesta en este caso, ya que Nike es un negocio "asset-light" que externaliza la manufactura. El CapEx de crecimiento (nuevas tiendas, plataformas digitales) se asume capturado en el crecimiento de revenue proyectado.</w:t>
      </w:r>
    </w:p>
    <w:p>
      <w:pPr>
        <w:pStyle w:val="ListBullet"/>
      </w:pPr>
      <w:r>
        <w:t>**Terminal Value:** Calculado mediante múltiplo de salida sobre EBITDA del año 5, utilizando múltiplos razonables para el sector de Consumer Cyclical / Footwear (10x–14x según escenario).</w:t>
      </w:r>
    </w:p>
    <w:p>
      <w:pPr>
        <w:pStyle w:val="ListBullet"/>
      </w:pPr>
      <w:r>
        <w:t>**WACC:** Calculado vía CAPM con beta de 1,29 y ajustado por escenario.</w:t>
      </w:r>
    </w:p>
    <w:p>
      <w:pPr>
        <w:pStyle w:val="ListBullet"/>
      </w:pPr>
      <w:r>
        <w:t>**Tasa impositiva:** 15,5% (promedio histórico, Nike se beneficia de su estructura internacional).</w:t>
      </w:r>
    </w:p>
    <w:p/>
    <w:p>
      <w:r>
        <w:t>#### Tres escenarios</w:t>
      </w:r>
    </w:p>
    <w:p/>
    <w:p>
      <w:r>
        <w:t>| Supuesto | 🐻 Bear | 📊 Base | 🐂 Bull |</w:t>
      </w:r>
    </w:p>
    <w:p>
      <w:r>
        <w:t>|---|---|---|---|</w:t>
      </w:r>
    </w:p>
    <w:p>
      <w:r>
        <w:t>| **Crecimiento revenue Y1** | +0,1% | +0,6% | +2,1% |</w:t>
      </w:r>
    </w:p>
    <w:p>
      <w:r>
        <w:t>| **CAGR revenue Y1–Y5** | ~4,1% | ~0,4% | ~1,3% |</w:t>
      </w:r>
    </w:p>
    <w:p>
      <w:r>
        <w:t>| **Margen bruto** | 43,2% | 44,2% | 45,2% |</w:t>
      </w:r>
    </w:p>
    <w:p>
      <w:r>
        <w:t>| **SGA % revenue** | 33,2% | 32,7% | 32,2% |</w:t>
      </w:r>
    </w:p>
    <w:p>
      <w:r>
        <w:t>| **WACC** | 11,6% | 10,6% | 9,6% |</w:t>
      </w:r>
    </w:p>
    <w:p>
      <w:r>
        <w:t>| **Múltiplo terminal (EV/EBITDA)** | 10x | 12x | 14x |</w:t>
      </w:r>
    </w:p>
    <w:p>
      <w:r>
        <w:t>| **Precio objetivo / acción** | **~$42** | **~$68** | **~$102** |</w:t>
      </w:r>
    </w:p>
    <w:p>
      <w:r>
        <w:t>| **Upside / Downside** | -20% | +30% | +95% |</w:t>
      </w:r>
    </w:p>
    <w:p/>
    <w:p>
      <w:r>
        <w:t>**Interpretación:**</w:t>
      </w:r>
    </w:p>
    <w:p/>
    <w:p>
      <w:pPr>
        <w:pStyle w:val="ListBullet"/>
      </w:pPr>
      <w:r>
        <w:t>En el **escenario base**, asumimos una recuperación gradual: los ingresos se estabilizan en FY2026 y crecen modestamente, mientras los márgenes vuelven a su media histórica (~44% bruto). El modelo arroja un valor intrínseco de **~$68 por acción**, un 30% por encima del precio actual.</w:t>
      </w:r>
    </w:p>
    <w:p>
      <w:pPr>
        <w:pStyle w:val="ListBullet"/>
      </w:pPr>
      <w:r>
        <w:t>En el **escenario bear**, Nike no logra recuperar cuota de mercado, los márgenes se quedan comprimidos y el mercado le asigna un múltiplo bajo. Aun así, el valor intrínseco de ~$42 sugiere un downside limitado (-20%) desde los niveles actuales.</w:t>
      </w:r>
    </w:p>
    <w:p>
      <w:pPr>
        <w:pStyle w:val="ListBullet"/>
      </w:pPr>
      <w:r>
        <w:t>En el **escenario bull**, el turnaround de nuevo CEO Elliott Hill tiene éxito, la innovación de producto reactiva el crecimiento y los márgenes se expanden. El valor podría alcanzar **~$102**, casi duplicando el precio actual.</w:t>
      </w:r>
    </w:p>
    <w:p/>
    <w:p>
      <w:r>
        <w:t>La **asimetría riesgo/recompensa es favorable**: el downside bear es moderado mientras que el upside en un escenario de normalización es sustancial. El consenso de analistas ($76 medio, rango $35–$120) es consistente con nuestro rango de escenarios.</w:t>
      </w:r>
    </w:p>
    <w:p/>
    <w:p/>
    <w:p/>
    <w:p>
      <w:pPr>
        <w:pStyle w:val="Heading3"/>
      </w:pPr>
      <w:r>
        <w:t>Riesgos principales</w:t>
      </w:r>
    </w:p>
    <w:p/>
    <w:p>
      <w:r>
        <w:t>1. **Turnaround fallido.** El nuevo CEO Elliott Hill (veterano de Nike) podría no ejecutar la reestructuración con éxito. Si los problemas de innovación de producto y canal persisten, los márgenes podrían no recuperarse a niveles históricos. Este es el riesgo #1.</w:t>
      </w:r>
    </w:p>
    <w:p/>
    <w:p>
      <w:r>
        <w:t>2. **Competencia estructural.** On Running, Hoka, New Balance y Adidas están capturando cuota en segmentos de alta rotación (running, lifestyle premium). Si la pérdida de cuota se acelera, Nike podría enfrentarse a un estancamiento prolongado de revenue.</w:t>
      </w:r>
    </w:p>
    <w:p/>
    <w:p>
      <w:r>
        <w:t>3. **Exposición a China y riesgo geopolítico.** Greater China representa ~15% de los ingresos y es un mercado de alta rentabilidad. Las tensiones comerciales EE.UU.–China, aranceles y el sentimiento nacionalista del consumidor chino son amenazas reales. La noticia reciente sobre la dificultad de vender producto "athletic lifestyle" en Europa refuerza la preocupación geográfica.</w:t>
      </w:r>
    </w:p>
    <w:p/>
    <w:p>
      <w:r>
        <w:t>4. **Riesgo macro y de consumo cíclico.** Como empresa de Consumer Cyclical, Nike es vulnerable a una desaceleración del gasto del consumidor. Si se produce una recesión global, la demanda de calzado y ropa premium se contraería, agravando la presión sobre ingresos y márgenes.</w:t>
      </w:r>
    </w:p>
    <w:p/>
    <w:p/>
    <w:p/>
    <w:p>
      <w:pPr>
        <w:pStyle w:val="Heading3"/>
      </w:pPr>
      <w:r>
        <w:t>Catalizadores</w:t>
      </w:r>
    </w:p>
    <w:p/>
    <w:p>
      <w:r>
        <w:t>**Al alza (12–24 meses):**</w:t>
      </w:r>
    </w:p>
    <w:p/>
    <w:p>
      <w:pPr>
        <w:pStyle w:val="ListBullet"/>
      </w:pPr>
      <w:r>
        <w:t>**Resultados que muestren inflexión.** Cualquier trimestre que demuestre estabilización de ingresos y expansión de margen bruto será catalizador potente. El mercado está posicionado para malas noticias; una sorpresa positiva tendría un efecto desproporcionado.</w:t>
      </w:r>
    </w:p>
    <w:p>
      <w:pPr>
        <w:pStyle w:val="ListBullet"/>
      </w:pPr>
      <w:r>
        <w:t>**Nuevos lanzamientos de producto exitosos.** Nike ha renovado su pipeline (nuevas versiones de Air Max, plataformas Jordan, tecnología de running). Un "hit" de producto puede cambiar la narrativa rápidamente.</w:t>
      </w:r>
    </w:p>
    <w:p>
      <w:pPr>
        <w:pStyle w:val="ListBullet"/>
      </w:pPr>
      <w:r>
        <w:t>**Reestructuración de costes.** La compañía está ejecutando recortes que deberían mejorar márgenes operativos en FY2026–FY2027. La salida de su anterior CFO (Nitesh Sharan se fue a Quantinuum) y la renovación del equipo directivo podrían acelerar cambios.</w:t>
      </w:r>
    </w:p>
    <w:p>
      <w:pPr>
        <w:pStyle w:val="ListBullet"/>
      </w:pPr>
      <w:r>
        <w:t>**Upgrade de analistas.** Barclays ya emitió una mejora de calificación señalando un "fundamental bottom" (marzo 2026). Más upgrades podrían atraer flujos institucionales.</w:t>
      </w:r>
    </w:p>
    <w:p>
      <w:pPr>
        <w:pStyle w:val="ListBullet"/>
      </w:pPr>
      <w:r>
        <w:t>**Recompras agresivas.** A estos precios, las recompras de acciones serían altamente accretivas.</w:t>
      </w:r>
    </w:p>
    <w:p/>
    <w:p>
      <w:r>
        <w:t>**A la baja:**</w:t>
      </w:r>
    </w:p>
    <w:p/>
    <w:p>
      <w:pPr>
        <w:pStyle w:val="ListBullet"/>
      </w:pPr>
      <w:r>
        <w:t>Resultados trimestrales que muestren deterioro continuado.</w:t>
      </w:r>
    </w:p>
    <w:p>
      <w:pPr>
        <w:pStyle w:val="ListBullet"/>
      </w:pPr>
      <w:r>
        <w:t>Escalada de aranceles o conflicto comercial con China.</w:t>
      </w:r>
    </w:p>
    <w:p>
      <w:pPr>
        <w:pStyle w:val="ListBullet"/>
      </w:pPr>
      <w:r>
        <w:t>Pérdida de contratos clave con atletas o ligas deportivas.</w:t>
      </w:r>
    </w:p>
    <w:p/>
    <w:p/>
    <w:p/>
    <w:p>
      <w:pPr>
        <w:pStyle w:val="Heading3"/>
      </w:pPr>
      <w:r>
        <w:t>Conclusión y plan de acción</w:t>
      </w:r>
    </w:p>
    <w:p/>
    <w:p>
      <w:r>
        <w:t>**Recomendación: COMPRAR** en la zona de $50–55.</w:t>
      </w:r>
    </w:p>
    <w:p/>
    <w:p>
      <w:r>
        <w:t>Nike está atravesando su peor momento operativo de la última década, pero el mercado parece estar cotizando un escenario cercano al peor caso. La marca sigue siendo la más poderosa del sector, el balance es sólido (deuda neta &lt;1x EBITDA), y hay señales iniciales de turnaround bajo la nueva dirección de Elliott Hill.</w:t>
      </w:r>
    </w:p>
    <w:p/>
    <w:p>
      <w:r>
        <w:t>| | |</w:t>
      </w:r>
    </w:p>
    <w:p>
      <w:r>
        <w:t>|---|---|</w:t>
      </w:r>
    </w:p>
    <w:p>
      <w:r>
        <w:t>| **Zona de compra ideal** | $45–55 |</w:t>
      </w:r>
    </w:p>
    <w:p>
      <w:r>
        <w:t>| **Precio objetivo base (12–18 meses)** | ~$68 |</w:t>
      </w:r>
    </w:p>
    <w:p>
      <w:r>
        <w:t>| **Precio al que reconsiderar** | Por debajo de $40 (reevaluar tesis si revenue sigue cayendo en FY2026) |</w:t>
      </w:r>
    </w:p>
    <w:p>
      <w:r>
        <w:t>| **Horizonte temporal** | 2–3 años para capturar la normalización de márgenes |</w:t>
      </w:r>
    </w:p>
    <w:p/>
    <w:p>
      <w:r>
        <w:t>**Plan concreto:**</w:t>
      </w:r>
    </w:p>
    <w:p>
      <w:pPr>
        <w:pStyle w:val="ListBullet"/>
      </w:pPr>
      <w:r>
        <w:t>Iniciar posición al precio actual ($52,37) con un tamaño moderado (50% de la posición objetivo).</w:t>
      </w:r>
    </w:p>
    <w:p>
      <w:pPr>
        <w:pStyle w:val="ListBullet"/>
      </w:pPr>
      <w:r>
        <w:t>Acumular si cae hacia $45 (completar posición).</w:t>
      </w:r>
    </w:p>
    <w:p>
      <w:pPr>
        <w:pStyle w:val="ListBullet"/>
      </w:pPr>
      <w:r>
        <w:t>Objetivo de salida parcial en $68–75. Mantener núcleo si el turnaround se materializa para capturar el escenario bull ($100+).</w:t>
      </w:r>
    </w:p>
    <w:p>
      <w:pPr>
        <w:pStyle w:val="ListBullet"/>
      </w:pPr>
      <w:r>
        <w:t>**Stop de tesis** (no de precio): si en los próximos dos trimestres el margen bruto no muestra señales de recuperación hacia 44%+ y el revenue sigue contrayéndose, reevaluar fundamentalmente la posición.</w:t>
      </w:r>
    </w:p>
    <w:p/>
    <w:p>
      <w:r>
        <w:t>Nike es una inversión value clásica de "empresa excelente en un momento difícil". La asimetría riesgo/recompensa favorece claramente al comprador paciente.</w:t>
      </w:r>
    </w:p>
    <w:p/>
    <w:p/>
    <w:p/>
    <w:p>
      <w:r>
        <w:t>*Análisis generado el 21/03/2026. No es consejo de inversión.*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