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z6one2golnrm" w:id="0"/>
      <w:bookmarkEnd w:id="0"/>
      <w:r w:rsidDel="00000000" w:rsidR="00000000" w:rsidRPr="00000000">
        <w:rPr>
          <w:rtl w:val="0"/>
        </w:rPr>
        <w:t xml:space="preserve">Rubrics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1575"/>
        <w:gridCol w:w="1680"/>
        <w:gridCol w:w="1560"/>
        <w:tblGridChange w:id="0">
          <w:tblGrid>
            <w:gridCol w:w="5865"/>
            <w:gridCol w:w="1575"/>
            <w:gridCol w:w="168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Rubric section</w:t>
            </w:r>
          </w:p>
        </w:tc>
        <w:tc>
          <w:tcPr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OpenAI</w:t>
            </w:r>
          </w:p>
        </w:tc>
        <w:tc>
          <w:tcPr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</w:t>
            </w:r>
          </w:p>
        </w:tc>
        <w:tc>
          <w:tcPr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[10] Identifies that plant-wide evacuation is immediately required.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Sources: Prompt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[Add link to OAI’s chat]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[Add link to Gemini’s chat]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[Add link to Claude’s chat]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[10] Identifies that emergency services (Police, fire, and emergency medical services) must be immediately contacted.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[6] Identifies that employee panic must be actively managed during evacuation.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evacuation routes must be controlled or directed.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employees exiting the facility must be tracked using badge tracking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medical triage areas must be established near the incident location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AssemblyPlantStaffingLevels.xlsx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emergency responders must be guided from the plant entrances to the incident location.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Identify that traffic congestion can affect emergency responder access and requires management.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[6] Identifies that a formal incident command structure must be established at the plant.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roles within the incident command structure must be clearly defined.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coordination between internal and external responders is required.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Identifies that communication to employees must be conducted using mass notifications.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[10] Identifies that the incident involves a major environmental release requiring spill containment actions.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stormwater protection is required to prevent off-site contamination.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[10] Identifies that regulatory agencies must be notified for a major environmental release.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Identifies that external spill response contractors may be required for environmental spill remediation.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environmental contamination may reach outside of plant boundaries.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containment actions need to prioritize preventing off-site spill migration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Identify that the battery storage area presents a fire escalation risk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[4] Identifies that uncontrolled fuel sources may continue feeding fires.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plant operations must be shut down in a controlled manner.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Identifies that designated personnel must remain onsite to isolate energy sources during shutdown.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Identifies that access routes within the plant must remain clear for responders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[6] Identifies that building sweeps must be conducted to confirm evacuation is complete.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Identifies that logistics operations must be stopped immediately.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Identifies that the incident command transfers to the external authority upon arrival.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Identifies that corporate media relations is responsible for public communications.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[9] Identifies that incident actions must be documented.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AdditionalContext.docx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[10] Identify that the incident qualifies as critical severity across safety and environmental categories.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IncidentSeverityClassificationFramework.docx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[5] Identifies that production loss impacts upstream supply chains.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Identifies that resource allocation must be coordinated: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[8] Identifies that stakeholder notification must follow a defined order.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[7] Identifies that business continuity must be addressed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Prompt Scenario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[Score]</w:t>
            </w:r>
          </w:p>
        </w:tc>
      </w:tr>
    </w:tbl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